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5B06F" w14:textId="607E126B" w:rsidR="004D554E" w:rsidRPr="009D6C83" w:rsidRDefault="00586181" w:rsidP="00D853BD">
      <w:pPr>
        <w:spacing w:before="0" w:line="276" w:lineRule="auto"/>
        <w:rPr>
          <w:color w:val="1E22AE" w:themeColor="text2"/>
          <w:sz w:val="24"/>
        </w:rPr>
      </w:pPr>
      <w:r>
        <w:rPr>
          <w:noProof/>
          <w:lang w:eastAsia="fr-FR"/>
        </w:rPr>
        <w:drawing>
          <wp:anchor distT="0" distB="0" distL="114300" distR="114300" simplePos="0" relativeHeight="251668480" behindDoc="0" locked="0" layoutInCell="1" allowOverlap="1" wp14:anchorId="5F9577CC" wp14:editId="74D43567">
            <wp:simplePos x="0" y="0"/>
            <wp:positionH relativeFrom="column">
              <wp:posOffset>3676650</wp:posOffset>
            </wp:positionH>
            <wp:positionV relativeFrom="paragraph">
              <wp:posOffset>-142875</wp:posOffset>
            </wp:positionV>
            <wp:extent cx="2276475" cy="14097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409700"/>
                    </a:xfrm>
                    <a:prstGeom prst="rect">
                      <a:avLst/>
                    </a:prstGeom>
                    <a:noFill/>
                    <a:ln>
                      <a:noFill/>
                    </a:ln>
                  </pic:spPr>
                </pic:pic>
              </a:graphicData>
            </a:graphic>
          </wp:anchor>
        </w:drawing>
      </w:r>
      <w:r w:rsidR="0011511A">
        <w:rPr>
          <w:color w:val="1E22AE" w:themeColor="text2"/>
          <w:sz w:val="24"/>
        </w:rPr>
        <w:t>Solidarités</w:t>
      </w:r>
    </w:p>
    <w:p w14:paraId="551405AA" w14:textId="1EAB8188" w:rsidR="004D554E" w:rsidRPr="009D6C83" w:rsidRDefault="004D554E" w:rsidP="00D853BD">
      <w:pPr>
        <w:spacing w:before="0" w:line="276" w:lineRule="auto"/>
        <w:rPr>
          <w:color w:val="1E22AE" w:themeColor="text2"/>
          <w:sz w:val="24"/>
        </w:rPr>
      </w:pPr>
      <w:r w:rsidRPr="009D6C83">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5CC794A0">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5B02EC"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73B23A2C" w14:textId="77777777" w:rsidR="00586181" w:rsidRDefault="00586181" w:rsidP="00D853BD">
      <w:pPr>
        <w:pStyle w:val="Titre1"/>
        <w:spacing w:before="0" w:after="0" w:line="276" w:lineRule="auto"/>
        <w:rPr>
          <w:color w:val="1E22AE" w:themeColor="text2"/>
        </w:rPr>
      </w:pPr>
      <w:bookmarkStart w:id="0" w:name="_Toc184900335"/>
      <w:bookmarkStart w:id="1" w:name="_Toc184900421"/>
      <w:bookmarkStart w:id="2" w:name="_Toc188351227"/>
      <w:bookmarkStart w:id="3" w:name="_Toc206059853"/>
    </w:p>
    <w:p w14:paraId="0BC0397A" w14:textId="77777777" w:rsidR="00586181" w:rsidRDefault="00586181" w:rsidP="00D853BD">
      <w:pPr>
        <w:pStyle w:val="Titre1"/>
        <w:spacing w:before="0" w:after="0" w:line="276" w:lineRule="auto"/>
        <w:rPr>
          <w:color w:val="1E22AE" w:themeColor="text2"/>
        </w:rPr>
      </w:pPr>
    </w:p>
    <w:p w14:paraId="37D6091F" w14:textId="77777777" w:rsidR="00586181" w:rsidRDefault="00586181" w:rsidP="00D853BD">
      <w:pPr>
        <w:pStyle w:val="Titre1"/>
        <w:spacing w:before="0" w:after="0" w:line="276" w:lineRule="auto"/>
        <w:rPr>
          <w:color w:val="1E22AE" w:themeColor="text2"/>
        </w:rPr>
      </w:pPr>
    </w:p>
    <w:p w14:paraId="72FEE21E" w14:textId="6869A46E" w:rsidR="00CF25E0" w:rsidRDefault="0011511A" w:rsidP="00D853BD">
      <w:pPr>
        <w:pStyle w:val="Titre1"/>
        <w:spacing w:before="0" w:after="0" w:line="276" w:lineRule="auto"/>
      </w:pPr>
      <w:r>
        <w:rPr>
          <w:color w:val="1E22AE" w:themeColor="text2"/>
        </w:rPr>
        <w:t xml:space="preserve">Avis d’appel à projet en faveur </w:t>
      </w:r>
      <w:bookmarkEnd w:id="0"/>
      <w:bookmarkEnd w:id="1"/>
      <w:bookmarkEnd w:id="2"/>
      <w:r w:rsidR="00EB68A0">
        <w:rPr>
          <w:color w:val="1E22AE" w:themeColor="text2"/>
        </w:rPr>
        <w:t>de l’évolution du milieu ouvert judiciaire sur le département de Maine-et-Loire</w:t>
      </w:r>
      <w:bookmarkEnd w:id="3"/>
      <w:r w:rsidR="00CF25E0">
        <w:br w:type="page"/>
      </w:r>
    </w:p>
    <w:p w14:paraId="38CB9FD5" w14:textId="580178E2" w:rsidR="00985338" w:rsidRDefault="00985338" w:rsidP="00D853BD">
      <w:pPr>
        <w:spacing w:before="0" w:line="276" w:lineRule="auto"/>
        <w:sectPr w:rsidR="00985338" w:rsidSect="00790EEA">
          <w:headerReference w:type="default" r:id="rId9"/>
          <w:footerReference w:type="even" r:id="rId10"/>
          <w:footerReference w:type="default" r:id="rId11"/>
          <w:footerReference w:type="first" r:id="rId12"/>
          <w:pgSz w:w="11900" w:h="16840"/>
          <w:pgMar w:top="1417" w:right="1417" w:bottom="1417" w:left="1417" w:header="708" w:footer="708" w:gutter="0"/>
          <w:cols w:space="708"/>
          <w:docGrid w:linePitch="360"/>
        </w:sectPr>
      </w:pPr>
    </w:p>
    <w:sdt>
      <w:sdtPr>
        <w:rPr>
          <w:rFonts w:asciiTheme="minorHAnsi" w:eastAsiaTheme="minorHAnsi" w:hAnsiTheme="minorHAnsi" w:cstheme="minorBidi"/>
          <w:color w:val="auto"/>
          <w:sz w:val="21"/>
          <w:szCs w:val="24"/>
          <w:lang w:eastAsia="en-US"/>
        </w:rPr>
        <w:id w:val="1819374154"/>
        <w:docPartObj>
          <w:docPartGallery w:val="Table of Contents"/>
          <w:docPartUnique/>
        </w:docPartObj>
      </w:sdtPr>
      <w:sdtEndPr>
        <w:rPr>
          <w:b/>
          <w:bCs/>
        </w:rPr>
      </w:sdtEndPr>
      <w:sdtContent>
        <w:p w14:paraId="48333E1E" w14:textId="77777777" w:rsidR="00C07F0C" w:rsidRPr="00CA7693" w:rsidRDefault="00A83B71" w:rsidP="00C07F0C">
          <w:pPr>
            <w:pStyle w:val="En-ttedetabledesmatires"/>
            <w:spacing w:before="0" w:line="276" w:lineRule="auto"/>
            <w:rPr>
              <w:b/>
              <w:noProof/>
              <w:color w:val="1E22AE" w:themeColor="accent1"/>
              <w:sz w:val="40"/>
              <w:lang w:eastAsia="en-US"/>
            </w:rPr>
          </w:pPr>
          <w:r w:rsidRPr="00CA7693">
            <w:rPr>
              <w:b/>
              <w:color w:val="1E22AE" w:themeColor="accent1"/>
              <w:sz w:val="40"/>
              <w:lang w:eastAsia="en-US"/>
            </w:rPr>
            <w:t>Table des matières</w:t>
          </w:r>
          <w:r>
            <w:rPr>
              <w:b/>
              <w:color w:val="1E22AE" w:themeColor="accent1"/>
              <w:sz w:val="40"/>
              <w:lang w:eastAsia="en-US"/>
            </w:rPr>
            <w:fldChar w:fldCharType="begin"/>
          </w:r>
          <w:r w:rsidRPr="00CA7693">
            <w:rPr>
              <w:b/>
              <w:color w:val="1E22AE" w:themeColor="accent1"/>
              <w:sz w:val="40"/>
              <w:lang w:eastAsia="en-US"/>
            </w:rPr>
            <w:instrText xml:space="preserve"> TOC \o "1-3" \h \z \u </w:instrText>
          </w:r>
          <w:r>
            <w:rPr>
              <w:b/>
              <w:color w:val="1E22AE" w:themeColor="accent1"/>
              <w:sz w:val="40"/>
              <w:lang w:eastAsia="en-US"/>
            </w:rPr>
            <w:fldChar w:fldCharType="separate"/>
          </w:r>
        </w:p>
        <w:p w14:paraId="47FB47B0" w14:textId="5D82B014" w:rsidR="00C07F0C" w:rsidRDefault="00E25927">
          <w:pPr>
            <w:pStyle w:val="TM1"/>
            <w:tabs>
              <w:tab w:val="right" w:leader="dot" w:pos="9056"/>
            </w:tabs>
            <w:rPr>
              <w:rFonts w:eastAsiaTheme="minorEastAsia"/>
              <w:noProof/>
              <w:sz w:val="22"/>
              <w:szCs w:val="22"/>
              <w:lang w:eastAsia="fr-FR"/>
            </w:rPr>
          </w:pPr>
          <w:hyperlink w:anchor="_Toc206059854" w:history="1">
            <w:r w:rsidR="00C07F0C" w:rsidRPr="00A47C07">
              <w:rPr>
                <w:rStyle w:val="Lienhypertexte"/>
                <w:noProof/>
              </w:rPr>
              <w:t>1 - Qualité et adresse de l’autorité compétente</w:t>
            </w:r>
            <w:r w:rsidR="00C07F0C">
              <w:rPr>
                <w:noProof/>
                <w:webHidden/>
              </w:rPr>
              <w:tab/>
            </w:r>
            <w:r w:rsidR="00C07F0C">
              <w:rPr>
                <w:noProof/>
                <w:webHidden/>
              </w:rPr>
              <w:fldChar w:fldCharType="begin"/>
            </w:r>
            <w:r w:rsidR="00C07F0C">
              <w:rPr>
                <w:noProof/>
                <w:webHidden/>
              </w:rPr>
              <w:instrText xml:space="preserve"> PAGEREF _Toc206059854 \h </w:instrText>
            </w:r>
            <w:r w:rsidR="00C07F0C">
              <w:rPr>
                <w:noProof/>
                <w:webHidden/>
              </w:rPr>
            </w:r>
            <w:r w:rsidR="00C07F0C">
              <w:rPr>
                <w:noProof/>
                <w:webHidden/>
              </w:rPr>
              <w:fldChar w:fldCharType="separate"/>
            </w:r>
            <w:r w:rsidR="00115507">
              <w:rPr>
                <w:noProof/>
                <w:webHidden/>
              </w:rPr>
              <w:t>2</w:t>
            </w:r>
            <w:r w:rsidR="00C07F0C">
              <w:rPr>
                <w:noProof/>
                <w:webHidden/>
              </w:rPr>
              <w:fldChar w:fldCharType="end"/>
            </w:r>
          </w:hyperlink>
        </w:p>
        <w:p w14:paraId="0DFA132B" w14:textId="045522CD" w:rsidR="00C07F0C" w:rsidRDefault="00E25927">
          <w:pPr>
            <w:pStyle w:val="TM1"/>
            <w:tabs>
              <w:tab w:val="right" w:leader="dot" w:pos="9056"/>
            </w:tabs>
            <w:rPr>
              <w:rFonts w:eastAsiaTheme="minorEastAsia"/>
              <w:noProof/>
              <w:sz w:val="22"/>
              <w:szCs w:val="22"/>
              <w:lang w:eastAsia="fr-FR"/>
            </w:rPr>
          </w:pPr>
          <w:hyperlink w:anchor="_Toc206059855" w:history="1">
            <w:r w:rsidR="00C07F0C" w:rsidRPr="00A47C07">
              <w:rPr>
                <w:rStyle w:val="Lienhypertexte"/>
                <w:noProof/>
              </w:rPr>
              <w:t>2 – Contexte de l’appel à projet</w:t>
            </w:r>
            <w:r w:rsidR="00C07F0C">
              <w:rPr>
                <w:noProof/>
                <w:webHidden/>
              </w:rPr>
              <w:tab/>
            </w:r>
            <w:r w:rsidR="00C07F0C">
              <w:rPr>
                <w:noProof/>
                <w:webHidden/>
              </w:rPr>
              <w:fldChar w:fldCharType="begin"/>
            </w:r>
            <w:r w:rsidR="00C07F0C">
              <w:rPr>
                <w:noProof/>
                <w:webHidden/>
              </w:rPr>
              <w:instrText xml:space="preserve"> PAGEREF _Toc206059855 \h </w:instrText>
            </w:r>
            <w:r w:rsidR="00C07F0C">
              <w:rPr>
                <w:noProof/>
                <w:webHidden/>
              </w:rPr>
            </w:r>
            <w:r w:rsidR="00C07F0C">
              <w:rPr>
                <w:noProof/>
                <w:webHidden/>
              </w:rPr>
              <w:fldChar w:fldCharType="separate"/>
            </w:r>
            <w:r w:rsidR="00115507">
              <w:rPr>
                <w:noProof/>
                <w:webHidden/>
              </w:rPr>
              <w:t>2</w:t>
            </w:r>
            <w:r w:rsidR="00C07F0C">
              <w:rPr>
                <w:noProof/>
                <w:webHidden/>
              </w:rPr>
              <w:fldChar w:fldCharType="end"/>
            </w:r>
          </w:hyperlink>
        </w:p>
        <w:p w14:paraId="4DBDFF22" w14:textId="08E7E2AE" w:rsidR="00C07F0C" w:rsidRDefault="00E25927">
          <w:pPr>
            <w:pStyle w:val="TM1"/>
            <w:tabs>
              <w:tab w:val="right" w:leader="dot" w:pos="9056"/>
            </w:tabs>
            <w:rPr>
              <w:rFonts w:eastAsiaTheme="minorEastAsia"/>
              <w:noProof/>
              <w:sz w:val="22"/>
              <w:szCs w:val="22"/>
              <w:lang w:eastAsia="fr-FR"/>
            </w:rPr>
          </w:pPr>
          <w:hyperlink w:anchor="_Toc206059856" w:history="1">
            <w:r w:rsidR="00C07F0C" w:rsidRPr="00A47C07">
              <w:rPr>
                <w:rStyle w:val="Lienhypertexte"/>
                <w:noProof/>
              </w:rPr>
              <w:t>3 – Objet de l’appel à projet, cadre d’intervention</w:t>
            </w:r>
            <w:r w:rsidR="00C07F0C">
              <w:rPr>
                <w:noProof/>
                <w:webHidden/>
              </w:rPr>
              <w:tab/>
            </w:r>
            <w:r w:rsidR="00C07F0C">
              <w:rPr>
                <w:noProof/>
                <w:webHidden/>
              </w:rPr>
              <w:fldChar w:fldCharType="begin"/>
            </w:r>
            <w:r w:rsidR="00C07F0C">
              <w:rPr>
                <w:noProof/>
                <w:webHidden/>
              </w:rPr>
              <w:instrText xml:space="preserve"> PAGEREF _Toc206059856 \h </w:instrText>
            </w:r>
            <w:r w:rsidR="00C07F0C">
              <w:rPr>
                <w:noProof/>
                <w:webHidden/>
              </w:rPr>
            </w:r>
            <w:r w:rsidR="00C07F0C">
              <w:rPr>
                <w:noProof/>
                <w:webHidden/>
              </w:rPr>
              <w:fldChar w:fldCharType="separate"/>
            </w:r>
            <w:r w:rsidR="00115507">
              <w:rPr>
                <w:noProof/>
                <w:webHidden/>
              </w:rPr>
              <w:t>2</w:t>
            </w:r>
            <w:r w:rsidR="00C07F0C">
              <w:rPr>
                <w:noProof/>
                <w:webHidden/>
              </w:rPr>
              <w:fldChar w:fldCharType="end"/>
            </w:r>
          </w:hyperlink>
        </w:p>
        <w:p w14:paraId="0CF1A321" w14:textId="07BF4F49" w:rsidR="00C07F0C" w:rsidRDefault="00E25927">
          <w:pPr>
            <w:pStyle w:val="TM1"/>
            <w:tabs>
              <w:tab w:val="right" w:leader="dot" w:pos="9056"/>
            </w:tabs>
            <w:rPr>
              <w:rFonts w:eastAsiaTheme="minorEastAsia"/>
              <w:noProof/>
              <w:sz w:val="22"/>
              <w:szCs w:val="22"/>
              <w:lang w:eastAsia="fr-FR"/>
            </w:rPr>
          </w:pPr>
          <w:hyperlink w:anchor="_Toc206059857" w:history="1">
            <w:r w:rsidR="00C07F0C" w:rsidRPr="00A47C07">
              <w:rPr>
                <w:rStyle w:val="Lienhypertexte"/>
                <w:noProof/>
              </w:rPr>
              <w:t>4 – Dispositions légales et réglementaires</w:t>
            </w:r>
            <w:r w:rsidR="00C07F0C">
              <w:rPr>
                <w:noProof/>
                <w:webHidden/>
              </w:rPr>
              <w:tab/>
            </w:r>
            <w:r w:rsidR="00C07F0C">
              <w:rPr>
                <w:noProof/>
                <w:webHidden/>
              </w:rPr>
              <w:fldChar w:fldCharType="begin"/>
            </w:r>
            <w:r w:rsidR="00C07F0C">
              <w:rPr>
                <w:noProof/>
                <w:webHidden/>
              </w:rPr>
              <w:instrText xml:space="preserve"> PAGEREF _Toc206059857 \h </w:instrText>
            </w:r>
            <w:r w:rsidR="00C07F0C">
              <w:rPr>
                <w:noProof/>
                <w:webHidden/>
              </w:rPr>
            </w:r>
            <w:r w:rsidR="00C07F0C">
              <w:rPr>
                <w:noProof/>
                <w:webHidden/>
              </w:rPr>
              <w:fldChar w:fldCharType="separate"/>
            </w:r>
            <w:r w:rsidR="00115507">
              <w:rPr>
                <w:noProof/>
                <w:webHidden/>
              </w:rPr>
              <w:t>3</w:t>
            </w:r>
            <w:r w:rsidR="00C07F0C">
              <w:rPr>
                <w:noProof/>
                <w:webHidden/>
              </w:rPr>
              <w:fldChar w:fldCharType="end"/>
            </w:r>
          </w:hyperlink>
        </w:p>
        <w:p w14:paraId="2D0BF26B" w14:textId="38D3C2B0" w:rsidR="00C07F0C" w:rsidRDefault="00E25927">
          <w:pPr>
            <w:pStyle w:val="TM1"/>
            <w:tabs>
              <w:tab w:val="right" w:leader="dot" w:pos="9056"/>
            </w:tabs>
            <w:rPr>
              <w:rFonts w:eastAsiaTheme="minorEastAsia"/>
              <w:noProof/>
              <w:sz w:val="22"/>
              <w:szCs w:val="22"/>
              <w:lang w:eastAsia="fr-FR"/>
            </w:rPr>
          </w:pPr>
          <w:hyperlink w:anchor="_Toc206059858" w:history="1">
            <w:r w:rsidR="00C07F0C" w:rsidRPr="00A47C07">
              <w:rPr>
                <w:rStyle w:val="Lienhypertexte"/>
                <w:noProof/>
              </w:rPr>
              <w:t>5 – Modalités d’instruction et critères de sélection</w:t>
            </w:r>
            <w:r w:rsidR="00C07F0C">
              <w:rPr>
                <w:noProof/>
                <w:webHidden/>
              </w:rPr>
              <w:tab/>
            </w:r>
            <w:r w:rsidR="00C07F0C">
              <w:rPr>
                <w:noProof/>
                <w:webHidden/>
              </w:rPr>
              <w:fldChar w:fldCharType="begin"/>
            </w:r>
            <w:r w:rsidR="00C07F0C">
              <w:rPr>
                <w:noProof/>
                <w:webHidden/>
              </w:rPr>
              <w:instrText xml:space="preserve"> PAGEREF _Toc206059858 \h </w:instrText>
            </w:r>
            <w:r w:rsidR="00C07F0C">
              <w:rPr>
                <w:noProof/>
                <w:webHidden/>
              </w:rPr>
            </w:r>
            <w:r w:rsidR="00C07F0C">
              <w:rPr>
                <w:noProof/>
                <w:webHidden/>
              </w:rPr>
              <w:fldChar w:fldCharType="separate"/>
            </w:r>
            <w:r w:rsidR="00115507">
              <w:rPr>
                <w:noProof/>
                <w:webHidden/>
              </w:rPr>
              <w:t>4</w:t>
            </w:r>
            <w:r w:rsidR="00C07F0C">
              <w:rPr>
                <w:noProof/>
                <w:webHidden/>
              </w:rPr>
              <w:fldChar w:fldCharType="end"/>
            </w:r>
          </w:hyperlink>
        </w:p>
        <w:p w14:paraId="3E5FCD03" w14:textId="7D40EC41" w:rsidR="00C07F0C" w:rsidRDefault="00E25927">
          <w:pPr>
            <w:pStyle w:val="TM2"/>
            <w:tabs>
              <w:tab w:val="right" w:leader="dot" w:pos="9056"/>
            </w:tabs>
            <w:rPr>
              <w:rFonts w:eastAsiaTheme="minorEastAsia"/>
              <w:noProof/>
              <w:sz w:val="22"/>
              <w:szCs w:val="22"/>
              <w:lang w:eastAsia="fr-FR"/>
            </w:rPr>
          </w:pPr>
          <w:hyperlink w:anchor="_Toc206059859" w:history="1">
            <w:r w:rsidR="00C07F0C" w:rsidRPr="00A47C07">
              <w:rPr>
                <w:rStyle w:val="Lienhypertexte"/>
                <w:noProof/>
              </w:rPr>
              <w:t>1/ Documents relatifs au projet :</w:t>
            </w:r>
            <w:r w:rsidR="00C07F0C">
              <w:rPr>
                <w:noProof/>
                <w:webHidden/>
              </w:rPr>
              <w:tab/>
            </w:r>
            <w:r w:rsidR="00C07F0C">
              <w:rPr>
                <w:noProof/>
                <w:webHidden/>
              </w:rPr>
              <w:fldChar w:fldCharType="begin"/>
            </w:r>
            <w:r w:rsidR="00C07F0C">
              <w:rPr>
                <w:noProof/>
                <w:webHidden/>
              </w:rPr>
              <w:instrText xml:space="preserve"> PAGEREF _Toc206059859 \h </w:instrText>
            </w:r>
            <w:r w:rsidR="00C07F0C">
              <w:rPr>
                <w:noProof/>
                <w:webHidden/>
              </w:rPr>
            </w:r>
            <w:r w:rsidR="00C07F0C">
              <w:rPr>
                <w:noProof/>
                <w:webHidden/>
              </w:rPr>
              <w:fldChar w:fldCharType="separate"/>
            </w:r>
            <w:r w:rsidR="00115507">
              <w:rPr>
                <w:noProof/>
                <w:webHidden/>
              </w:rPr>
              <w:t>4</w:t>
            </w:r>
            <w:r w:rsidR="00C07F0C">
              <w:rPr>
                <w:noProof/>
                <w:webHidden/>
              </w:rPr>
              <w:fldChar w:fldCharType="end"/>
            </w:r>
          </w:hyperlink>
        </w:p>
        <w:p w14:paraId="7C48B345" w14:textId="2D0E1489" w:rsidR="00C07F0C" w:rsidRDefault="00E25927">
          <w:pPr>
            <w:pStyle w:val="TM2"/>
            <w:tabs>
              <w:tab w:val="right" w:leader="dot" w:pos="9056"/>
            </w:tabs>
            <w:rPr>
              <w:rFonts w:eastAsiaTheme="minorEastAsia"/>
              <w:noProof/>
              <w:sz w:val="22"/>
              <w:szCs w:val="22"/>
              <w:lang w:eastAsia="fr-FR"/>
            </w:rPr>
          </w:pPr>
          <w:hyperlink w:anchor="_Toc206059860" w:history="1">
            <w:r w:rsidR="00C07F0C" w:rsidRPr="00A47C07">
              <w:rPr>
                <w:rStyle w:val="Lienhypertexte"/>
                <w:noProof/>
              </w:rPr>
              <w:t>2/ Modalités d’instruction :</w:t>
            </w:r>
            <w:r w:rsidR="00C07F0C">
              <w:rPr>
                <w:noProof/>
                <w:webHidden/>
              </w:rPr>
              <w:tab/>
            </w:r>
            <w:r w:rsidR="00C07F0C">
              <w:rPr>
                <w:noProof/>
                <w:webHidden/>
              </w:rPr>
              <w:fldChar w:fldCharType="begin"/>
            </w:r>
            <w:r w:rsidR="00C07F0C">
              <w:rPr>
                <w:noProof/>
                <w:webHidden/>
              </w:rPr>
              <w:instrText xml:space="preserve"> PAGEREF _Toc206059860 \h </w:instrText>
            </w:r>
            <w:r w:rsidR="00C07F0C">
              <w:rPr>
                <w:noProof/>
                <w:webHidden/>
              </w:rPr>
            </w:r>
            <w:r w:rsidR="00C07F0C">
              <w:rPr>
                <w:noProof/>
                <w:webHidden/>
              </w:rPr>
              <w:fldChar w:fldCharType="separate"/>
            </w:r>
            <w:r w:rsidR="00115507">
              <w:rPr>
                <w:noProof/>
                <w:webHidden/>
              </w:rPr>
              <w:t>5</w:t>
            </w:r>
            <w:r w:rsidR="00C07F0C">
              <w:rPr>
                <w:noProof/>
                <w:webHidden/>
              </w:rPr>
              <w:fldChar w:fldCharType="end"/>
            </w:r>
          </w:hyperlink>
        </w:p>
        <w:p w14:paraId="0C124D57" w14:textId="19F25510" w:rsidR="00C07F0C" w:rsidRDefault="00E25927">
          <w:pPr>
            <w:pStyle w:val="TM1"/>
            <w:tabs>
              <w:tab w:val="right" w:leader="dot" w:pos="9056"/>
            </w:tabs>
            <w:rPr>
              <w:rFonts w:eastAsiaTheme="minorEastAsia"/>
              <w:noProof/>
              <w:sz w:val="22"/>
              <w:szCs w:val="22"/>
              <w:lang w:eastAsia="fr-FR"/>
            </w:rPr>
          </w:pPr>
          <w:hyperlink w:anchor="_Toc206059861" w:history="1">
            <w:r w:rsidR="00C07F0C" w:rsidRPr="00A47C07">
              <w:rPr>
                <w:rStyle w:val="Lienhypertexte"/>
                <w:noProof/>
              </w:rPr>
              <w:t>6 – Modalités de consultation et de dépôt</w:t>
            </w:r>
            <w:r w:rsidR="00C07F0C">
              <w:rPr>
                <w:noProof/>
                <w:webHidden/>
              </w:rPr>
              <w:tab/>
            </w:r>
            <w:r w:rsidR="00C07F0C">
              <w:rPr>
                <w:noProof/>
                <w:webHidden/>
              </w:rPr>
              <w:fldChar w:fldCharType="begin"/>
            </w:r>
            <w:r w:rsidR="00C07F0C">
              <w:rPr>
                <w:noProof/>
                <w:webHidden/>
              </w:rPr>
              <w:instrText xml:space="preserve"> PAGEREF _Toc206059861 \h </w:instrText>
            </w:r>
            <w:r w:rsidR="00C07F0C">
              <w:rPr>
                <w:noProof/>
                <w:webHidden/>
              </w:rPr>
            </w:r>
            <w:r w:rsidR="00C07F0C">
              <w:rPr>
                <w:noProof/>
                <w:webHidden/>
              </w:rPr>
              <w:fldChar w:fldCharType="separate"/>
            </w:r>
            <w:r w:rsidR="00115507">
              <w:rPr>
                <w:noProof/>
                <w:webHidden/>
              </w:rPr>
              <w:t>8</w:t>
            </w:r>
            <w:r w:rsidR="00C07F0C">
              <w:rPr>
                <w:noProof/>
                <w:webHidden/>
              </w:rPr>
              <w:fldChar w:fldCharType="end"/>
            </w:r>
          </w:hyperlink>
        </w:p>
        <w:p w14:paraId="352DAC0B" w14:textId="645D6BDE" w:rsidR="00C07F0C" w:rsidRDefault="00E25927">
          <w:pPr>
            <w:pStyle w:val="TM2"/>
            <w:tabs>
              <w:tab w:val="right" w:leader="dot" w:pos="9056"/>
            </w:tabs>
            <w:rPr>
              <w:rFonts w:eastAsiaTheme="minorEastAsia"/>
              <w:noProof/>
              <w:sz w:val="22"/>
              <w:szCs w:val="22"/>
              <w:lang w:eastAsia="fr-FR"/>
            </w:rPr>
          </w:pPr>
          <w:hyperlink w:anchor="_Toc206059862" w:history="1">
            <w:r w:rsidR="00C07F0C" w:rsidRPr="00A47C07">
              <w:rPr>
                <w:rStyle w:val="Lienhypertexte"/>
                <w:noProof/>
              </w:rPr>
              <w:t>1/ Modalités de consultation</w:t>
            </w:r>
            <w:r w:rsidR="00C07F0C">
              <w:rPr>
                <w:noProof/>
                <w:webHidden/>
              </w:rPr>
              <w:tab/>
            </w:r>
            <w:r w:rsidR="00C07F0C">
              <w:rPr>
                <w:noProof/>
                <w:webHidden/>
              </w:rPr>
              <w:fldChar w:fldCharType="begin"/>
            </w:r>
            <w:r w:rsidR="00C07F0C">
              <w:rPr>
                <w:noProof/>
                <w:webHidden/>
              </w:rPr>
              <w:instrText xml:space="preserve"> PAGEREF _Toc206059862 \h </w:instrText>
            </w:r>
            <w:r w:rsidR="00C07F0C">
              <w:rPr>
                <w:noProof/>
                <w:webHidden/>
              </w:rPr>
            </w:r>
            <w:r w:rsidR="00C07F0C">
              <w:rPr>
                <w:noProof/>
                <w:webHidden/>
              </w:rPr>
              <w:fldChar w:fldCharType="separate"/>
            </w:r>
            <w:r w:rsidR="00115507">
              <w:rPr>
                <w:noProof/>
                <w:webHidden/>
              </w:rPr>
              <w:t>8</w:t>
            </w:r>
            <w:r w:rsidR="00C07F0C">
              <w:rPr>
                <w:noProof/>
                <w:webHidden/>
              </w:rPr>
              <w:fldChar w:fldCharType="end"/>
            </w:r>
          </w:hyperlink>
        </w:p>
        <w:p w14:paraId="342DE6A2" w14:textId="6EE013B5" w:rsidR="00C07F0C" w:rsidRDefault="00E25927">
          <w:pPr>
            <w:pStyle w:val="TM2"/>
            <w:tabs>
              <w:tab w:val="right" w:leader="dot" w:pos="9056"/>
            </w:tabs>
            <w:rPr>
              <w:rFonts w:eastAsiaTheme="minorEastAsia"/>
              <w:noProof/>
              <w:sz w:val="22"/>
              <w:szCs w:val="22"/>
              <w:lang w:eastAsia="fr-FR"/>
            </w:rPr>
          </w:pPr>
          <w:hyperlink w:anchor="_Toc206059863" w:history="1">
            <w:r w:rsidR="00C07F0C" w:rsidRPr="00A47C07">
              <w:rPr>
                <w:rStyle w:val="Lienhypertexte"/>
                <w:noProof/>
              </w:rPr>
              <w:t>2/ Modalités de dépôt</w:t>
            </w:r>
            <w:r w:rsidR="00C07F0C">
              <w:rPr>
                <w:noProof/>
                <w:webHidden/>
              </w:rPr>
              <w:tab/>
            </w:r>
            <w:r w:rsidR="00C07F0C">
              <w:rPr>
                <w:noProof/>
                <w:webHidden/>
              </w:rPr>
              <w:fldChar w:fldCharType="begin"/>
            </w:r>
            <w:r w:rsidR="00C07F0C">
              <w:rPr>
                <w:noProof/>
                <w:webHidden/>
              </w:rPr>
              <w:instrText xml:space="preserve"> PAGEREF _Toc206059863 \h </w:instrText>
            </w:r>
            <w:r w:rsidR="00C07F0C">
              <w:rPr>
                <w:noProof/>
                <w:webHidden/>
              </w:rPr>
            </w:r>
            <w:r w:rsidR="00C07F0C">
              <w:rPr>
                <w:noProof/>
                <w:webHidden/>
              </w:rPr>
              <w:fldChar w:fldCharType="separate"/>
            </w:r>
            <w:r w:rsidR="00115507">
              <w:rPr>
                <w:noProof/>
                <w:webHidden/>
              </w:rPr>
              <w:t>8</w:t>
            </w:r>
            <w:r w:rsidR="00C07F0C">
              <w:rPr>
                <w:noProof/>
                <w:webHidden/>
              </w:rPr>
              <w:fldChar w:fldCharType="end"/>
            </w:r>
          </w:hyperlink>
        </w:p>
        <w:p w14:paraId="5FF59703" w14:textId="123E65D4" w:rsidR="00C07F0C" w:rsidRDefault="00E25927">
          <w:pPr>
            <w:pStyle w:val="TM1"/>
            <w:tabs>
              <w:tab w:val="right" w:leader="dot" w:pos="9056"/>
            </w:tabs>
            <w:rPr>
              <w:rFonts w:eastAsiaTheme="minorEastAsia"/>
              <w:noProof/>
              <w:sz w:val="22"/>
              <w:szCs w:val="22"/>
              <w:lang w:eastAsia="fr-FR"/>
            </w:rPr>
          </w:pPr>
          <w:hyperlink w:anchor="_Toc206059864" w:history="1">
            <w:r w:rsidR="00C07F0C" w:rsidRPr="00A47C07">
              <w:rPr>
                <w:rStyle w:val="Lienhypertexte"/>
                <w:noProof/>
              </w:rPr>
              <w:t>7 – Calendrier</w:t>
            </w:r>
            <w:r w:rsidR="00C07F0C">
              <w:rPr>
                <w:noProof/>
                <w:webHidden/>
              </w:rPr>
              <w:tab/>
            </w:r>
            <w:r w:rsidR="00C07F0C">
              <w:rPr>
                <w:noProof/>
                <w:webHidden/>
              </w:rPr>
              <w:fldChar w:fldCharType="begin"/>
            </w:r>
            <w:r w:rsidR="00C07F0C">
              <w:rPr>
                <w:noProof/>
                <w:webHidden/>
              </w:rPr>
              <w:instrText xml:space="preserve"> PAGEREF _Toc206059864 \h </w:instrText>
            </w:r>
            <w:r w:rsidR="00C07F0C">
              <w:rPr>
                <w:noProof/>
                <w:webHidden/>
              </w:rPr>
            </w:r>
            <w:r w:rsidR="00C07F0C">
              <w:rPr>
                <w:noProof/>
                <w:webHidden/>
              </w:rPr>
              <w:fldChar w:fldCharType="separate"/>
            </w:r>
            <w:r w:rsidR="00115507">
              <w:rPr>
                <w:noProof/>
                <w:webHidden/>
              </w:rPr>
              <w:t>10</w:t>
            </w:r>
            <w:r w:rsidR="00C07F0C">
              <w:rPr>
                <w:noProof/>
                <w:webHidden/>
              </w:rPr>
              <w:fldChar w:fldCharType="end"/>
            </w:r>
          </w:hyperlink>
        </w:p>
        <w:p w14:paraId="0B66C143" w14:textId="46E21559" w:rsidR="00A83B71" w:rsidRDefault="00A83B71" w:rsidP="00D853BD">
          <w:pPr>
            <w:spacing w:before="0" w:line="276" w:lineRule="auto"/>
          </w:pPr>
          <w:r>
            <w:rPr>
              <w:b/>
              <w:bCs/>
            </w:rPr>
            <w:fldChar w:fldCharType="end"/>
          </w:r>
        </w:p>
      </w:sdtContent>
    </w:sdt>
    <w:p w14:paraId="7BDF28BE" w14:textId="77777777" w:rsidR="0011511A" w:rsidRDefault="0011511A" w:rsidP="00D853BD">
      <w:pPr>
        <w:spacing w:before="0" w:line="276" w:lineRule="auto"/>
        <w:rPr>
          <w:rFonts w:asciiTheme="majorHAnsi" w:eastAsiaTheme="majorEastAsia" w:hAnsiTheme="majorHAnsi" w:cstheme="majorBidi"/>
          <w:b/>
          <w:color w:val="1E22AE" w:themeColor="accent1"/>
          <w:sz w:val="56"/>
          <w:szCs w:val="32"/>
        </w:rPr>
      </w:pPr>
      <w:r>
        <w:br w:type="page"/>
      </w:r>
    </w:p>
    <w:p w14:paraId="3F82538D" w14:textId="1421209E" w:rsidR="003C6E53" w:rsidRPr="0011511A" w:rsidRDefault="0011511A" w:rsidP="00CB7A21">
      <w:pPr>
        <w:pStyle w:val="Titre1"/>
        <w:spacing w:before="0" w:after="0" w:line="276" w:lineRule="auto"/>
        <w:rPr>
          <w:sz w:val="40"/>
        </w:rPr>
      </w:pPr>
      <w:bookmarkStart w:id="4" w:name="_Toc206059854"/>
      <w:r w:rsidRPr="0011511A">
        <w:rPr>
          <w:sz w:val="40"/>
        </w:rPr>
        <w:lastRenderedPageBreak/>
        <w:t>1 - Qualité</w:t>
      </w:r>
      <w:r w:rsidR="006F2359">
        <w:rPr>
          <w:sz w:val="40"/>
        </w:rPr>
        <w:t>s</w:t>
      </w:r>
      <w:r w:rsidRPr="0011511A">
        <w:rPr>
          <w:sz w:val="40"/>
        </w:rPr>
        <w:t xml:space="preserve"> et adresse</w:t>
      </w:r>
      <w:r w:rsidR="006F2359">
        <w:rPr>
          <w:sz w:val="40"/>
        </w:rPr>
        <w:t>s</w:t>
      </w:r>
      <w:r w:rsidRPr="0011511A">
        <w:rPr>
          <w:sz w:val="40"/>
        </w:rPr>
        <w:t xml:space="preserve"> de</w:t>
      </w:r>
      <w:r w:rsidR="006F2359">
        <w:rPr>
          <w:sz w:val="40"/>
        </w:rPr>
        <w:t>s</w:t>
      </w:r>
      <w:r w:rsidRPr="0011511A">
        <w:rPr>
          <w:sz w:val="40"/>
        </w:rPr>
        <w:t xml:space="preserve"> autorité</w:t>
      </w:r>
      <w:r w:rsidR="006F2359">
        <w:rPr>
          <w:sz w:val="40"/>
        </w:rPr>
        <w:t>s</w:t>
      </w:r>
      <w:r w:rsidRPr="0011511A">
        <w:rPr>
          <w:sz w:val="40"/>
        </w:rPr>
        <w:t xml:space="preserve"> compétente</w:t>
      </w:r>
      <w:bookmarkEnd w:id="4"/>
      <w:r w:rsidR="006F2359">
        <w:rPr>
          <w:sz w:val="40"/>
        </w:rPr>
        <w:t>s</w:t>
      </w:r>
    </w:p>
    <w:p w14:paraId="03D87C51" w14:textId="77777777" w:rsidR="0011511A" w:rsidRPr="0004646A" w:rsidRDefault="0011511A" w:rsidP="00D853BD">
      <w:pPr>
        <w:spacing w:before="0" w:line="276" w:lineRule="auto"/>
        <w:rPr>
          <w:sz w:val="22"/>
          <w:szCs w:val="22"/>
        </w:rPr>
      </w:pPr>
      <w:r w:rsidRPr="0004646A">
        <w:rPr>
          <w:sz w:val="22"/>
          <w:szCs w:val="22"/>
        </w:rPr>
        <w:t>Madame La Présidente du Conseil Départemental de Maine-et-Loire</w:t>
      </w:r>
    </w:p>
    <w:p w14:paraId="2325F244" w14:textId="77777777" w:rsidR="0011511A" w:rsidRPr="0004646A" w:rsidRDefault="0011511A" w:rsidP="00D853BD">
      <w:pPr>
        <w:spacing w:before="0" w:line="276" w:lineRule="auto"/>
        <w:rPr>
          <w:sz w:val="22"/>
          <w:szCs w:val="22"/>
        </w:rPr>
      </w:pPr>
      <w:r w:rsidRPr="0004646A">
        <w:rPr>
          <w:sz w:val="22"/>
          <w:szCs w:val="22"/>
        </w:rPr>
        <w:t>Hôtel du Département</w:t>
      </w:r>
    </w:p>
    <w:p w14:paraId="01CBCF15" w14:textId="77777777" w:rsidR="0011511A" w:rsidRPr="0004646A" w:rsidRDefault="0011511A" w:rsidP="00D853BD">
      <w:pPr>
        <w:spacing w:before="0" w:line="276" w:lineRule="auto"/>
        <w:rPr>
          <w:sz w:val="22"/>
          <w:szCs w:val="22"/>
        </w:rPr>
      </w:pPr>
      <w:r w:rsidRPr="0004646A">
        <w:rPr>
          <w:sz w:val="22"/>
          <w:szCs w:val="22"/>
        </w:rPr>
        <w:t>48B, boulevard Foch</w:t>
      </w:r>
    </w:p>
    <w:p w14:paraId="02D40AD6" w14:textId="77777777" w:rsidR="0011511A" w:rsidRPr="0004646A" w:rsidRDefault="0011511A" w:rsidP="00D853BD">
      <w:pPr>
        <w:spacing w:before="0" w:line="276" w:lineRule="auto"/>
        <w:rPr>
          <w:sz w:val="22"/>
          <w:szCs w:val="22"/>
        </w:rPr>
      </w:pPr>
      <w:r w:rsidRPr="0004646A">
        <w:rPr>
          <w:sz w:val="22"/>
          <w:szCs w:val="22"/>
        </w:rPr>
        <w:t>CS94104</w:t>
      </w:r>
    </w:p>
    <w:p w14:paraId="1BB05BAF" w14:textId="481BA39D" w:rsidR="0011511A" w:rsidRDefault="0011511A" w:rsidP="00D853BD">
      <w:pPr>
        <w:spacing w:before="0" w:line="276" w:lineRule="auto"/>
        <w:rPr>
          <w:sz w:val="22"/>
          <w:szCs w:val="22"/>
        </w:rPr>
      </w:pPr>
      <w:r w:rsidRPr="0004646A">
        <w:rPr>
          <w:sz w:val="22"/>
          <w:szCs w:val="22"/>
        </w:rPr>
        <w:t>49941 Angers Cedex 9</w:t>
      </w:r>
    </w:p>
    <w:p w14:paraId="67609F11" w14:textId="36E53539" w:rsidR="006F2359" w:rsidRDefault="006F2359" w:rsidP="00D853BD">
      <w:pPr>
        <w:spacing w:before="0" w:line="276" w:lineRule="auto"/>
        <w:rPr>
          <w:sz w:val="22"/>
          <w:szCs w:val="22"/>
        </w:rPr>
      </w:pPr>
    </w:p>
    <w:p w14:paraId="245AD2D7" w14:textId="77777777" w:rsidR="006F2359" w:rsidRPr="006F2359" w:rsidRDefault="006F2359" w:rsidP="006F2359">
      <w:pPr>
        <w:spacing w:before="0" w:line="276" w:lineRule="auto"/>
        <w:rPr>
          <w:sz w:val="22"/>
          <w:szCs w:val="22"/>
        </w:rPr>
      </w:pPr>
      <w:r w:rsidRPr="006F2359">
        <w:rPr>
          <w:sz w:val="22"/>
          <w:szCs w:val="22"/>
        </w:rPr>
        <w:t>Monsieur le Préfet de Maine-et-Loire</w:t>
      </w:r>
    </w:p>
    <w:p w14:paraId="4B57362E" w14:textId="77777777" w:rsidR="006F2359" w:rsidRPr="006F2359" w:rsidRDefault="006F2359" w:rsidP="006F2359">
      <w:pPr>
        <w:spacing w:before="0" w:line="276" w:lineRule="auto"/>
        <w:rPr>
          <w:sz w:val="22"/>
          <w:szCs w:val="22"/>
        </w:rPr>
      </w:pPr>
      <w:r w:rsidRPr="006F2359">
        <w:rPr>
          <w:sz w:val="22"/>
          <w:szCs w:val="22"/>
        </w:rPr>
        <w:t>Place Michel-Debré</w:t>
      </w:r>
    </w:p>
    <w:p w14:paraId="12378A6D" w14:textId="6BC665C4" w:rsidR="006F2359" w:rsidRDefault="006F2359" w:rsidP="006F2359">
      <w:pPr>
        <w:spacing w:before="0" w:line="276" w:lineRule="auto"/>
        <w:rPr>
          <w:sz w:val="22"/>
          <w:szCs w:val="22"/>
        </w:rPr>
      </w:pPr>
      <w:r w:rsidRPr="006F2359">
        <w:rPr>
          <w:sz w:val="22"/>
          <w:szCs w:val="22"/>
        </w:rPr>
        <w:t>49934 Angers Cedex 9</w:t>
      </w:r>
    </w:p>
    <w:p w14:paraId="404BE43E" w14:textId="77777777" w:rsidR="00E86CDF" w:rsidRPr="0004646A" w:rsidRDefault="00E86CDF" w:rsidP="00D853BD">
      <w:pPr>
        <w:spacing w:before="0" w:line="276" w:lineRule="auto"/>
        <w:rPr>
          <w:sz w:val="22"/>
          <w:szCs w:val="22"/>
        </w:rPr>
      </w:pPr>
    </w:p>
    <w:p w14:paraId="20D061A1" w14:textId="42DA9A69" w:rsidR="0011511A" w:rsidRPr="0011511A" w:rsidRDefault="0011511A" w:rsidP="00D853BD">
      <w:pPr>
        <w:pStyle w:val="Titre1"/>
        <w:spacing w:before="0" w:after="0" w:line="276" w:lineRule="auto"/>
        <w:jc w:val="both"/>
        <w:rPr>
          <w:sz w:val="40"/>
        </w:rPr>
      </w:pPr>
      <w:bookmarkStart w:id="5" w:name="_Toc206059855"/>
      <w:r>
        <w:rPr>
          <w:sz w:val="40"/>
        </w:rPr>
        <w:t>2</w:t>
      </w:r>
      <w:r w:rsidRPr="0011511A">
        <w:rPr>
          <w:sz w:val="40"/>
        </w:rPr>
        <w:t xml:space="preserve"> </w:t>
      </w:r>
      <w:r w:rsidR="0067014E">
        <w:rPr>
          <w:sz w:val="40"/>
        </w:rPr>
        <w:t>–</w:t>
      </w:r>
      <w:r w:rsidRPr="0011511A">
        <w:rPr>
          <w:sz w:val="40"/>
        </w:rPr>
        <w:t xml:space="preserve"> </w:t>
      </w:r>
      <w:r w:rsidR="0067014E">
        <w:rPr>
          <w:sz w:val="40"/>
        </w:rPr>
        <w:t>Contexte de l’appel à projet</w:t>
      </w:r>
      <w:bookmarkEnd w:id="5"/>
    </w:p>
    <w:p w14:paraId="101EF522" w14:textId="2C8F4492" w:rsidR="009E10ED" w:rsidRDefault="00E86CDF" w:rsidP="00D853BD">
      <w:pPr>
        <w:spacing w:before="0" w:line="276" w:lineRule="auto"/>
        <w:jc w:val="both"/>
      </w:pPr>
      <w:r>
        <w:t xml:space="preserve">Le milieu ouvert judiciaire </w:t>
      </w:r>
      <w:r w:rsidRPr="00E86CDF">
        <w:t>constitue un pilier de la protection de l’enfance. Les mesures d’</w:t>
      </w:r>
      <w:r w:rsidRPr="00E86CDF">
        <w:rPr>
          <w:rStyle w:val="lev"/>
          <w:b w:val="0"/>
        </w:rPr>
        <w:t>AEMO</w:t>
      </w:r>
      <w:r w:rsidR="00F8303E">
        <w:rPr>
          <w:rStyle w:val="lev"/>
          <w:b w:val="0"/>
        </w:rPr>
        <w:t xml:space="preserve"> (Action Educative en Milieu Ouvert)</w:t>
      </w:r>
      <w:r w:rsidRPr="00E86CDF">
        <w:t xml:space="preserve"> et de </w:t>
      </w:r>
      <w:r w:rsidRPr="00E86CDF">
        <w:rPr>
          <w:rStyle w:val="lev"/>
          <w:b w:val="0"/>
        </w:rPr>
        <w:t>PEAD</w:t>
      </w:r>
      <w:r w:rsidR="00F8303E">
        <w:rPr>
          <w:rStyle w:val="lev"/>
          <w:b w:val="0"/>
        </w:rPr>
        <w:t xml:space="preserve"> (Placement Educatif en Milieu Ouvert)</w:t>
      </w:r>
      <w:r w:rsidRPr="00E86CDF">
        <w:t>, ordonnées par le juge des enfants, accompagnent les mineurs en danger en préservant leur ancrage familial, limitant ainsi le recours au placement en institution</w:t>
      </w:r>
      <w:r>
        <w:t>.</w:t>
      </w:r>
    </w:p>
    <w:p w14:paraId="2B842399" w14:textId="77777777" w:rsidR="00E86CDF" w:rsidRPr="001640FB" w:rsidRDefault="00E86CDF" w:rsidP="00D853BD">
      <w:pPr>
        <w:spacing w:before="0" w:line="276" w:lineRule="auto"/>
        <w:jc w:val="both"/>
        <w:rPr>
          <w:rFonts w:cs="Arial"/>
          <w:iCs/>
          <w:sz w:val="22"/>
          <w:szCs w:val="22"/>
        </w:rPr>
      </w:pPr>
    </w:p>
    <w:p w14:paraId="3FA213C3" w14:textId="77E6A776" w:rsidR="008A4D93" w:rsidRDefault="008A4D93" w:rsidP="00D853BD">
      <w:pPr>
        <w:spacing w:before="0" w:line="276" w:lineRule="auto"/>
        <w:jc w:val="both"/>
      </w:pPr>
      <w:r>
        <w:t xml:space="preserve">L’arrêt de la Cour de cassation du 2 octobre 2024 remet en cause le fondement légal du PEAD, conduisant à développer des AEMO Intensives avec Hébergement (AEMO-IH) et à diversifier les modes d’intervention pour prévenir la dégradation des situations familiales. </w:t>
      </w:r>
    </w:p>
    <w:p w14:paraId="55EC6B16" w14:textId="77777777" w:rsidR="008A4D93" w:rsidRDefault="008A4D93" w:rsidP="00D853BD">
      <w:pPr>
        <w:spacing w:before="0" w:line="276" w:lineRule="auto"/>
        <w:jc w:val="both"/>
      </w:pPr>
    </w:p>
    <w:p w14:paraId="1E5BF099" w14:textId="31065557" w:rsidR="008A4D93" w:rsidRDefault="008A4D93" w:rsidP="00D853BD">
      <w:pPr>
        <w:spacing w:before="0" w:line="276" w:lineRule="auto"/>
        <w:jc w:val="both"/>
      </w:pPr>
      <w:r>
        <w:t xml:space="preserve">En parallèle, en Maine-et-Loire, la gestion des AEMO, AEMO-R et PEAD est marquée par une multiplicité </w:t>
      </w:r>
      <w:r w:rsidR="00AD3C1A">
        <w:t>d’opérateurs</w:t>
      </w:r>
      <w:r w:rsidR="00F8303E">
        <w:t xml:space="preserve"> et une </w:t>
      </w:r>
      <w:r>
        <w:t xml:space="preserve">hétérogénéité des </w:t>
      </w:r>
      <w:r w:rsidR="00F8303E">
        <w:t xml:space="preserve">organisations et </w:t>
      </w:r>
      <w:r>
        <w:t xml:space="preserve">pratiques, </w:t>
      </w:r>
      <w:r w:rsidR="00F8303E">
        <w:t>entraînant</w:t>
      </w:r>
      <w:r>
        <w:t xml:space="preserve"> ruptures de parcours, baisse de qualité et pilotage complexe. </w:t>
      </w:r>
    </w:p>
    <w:p w14:paraId="2604C364" w14:textId="77777777" w:rsidR="008A4D93" w:rsidRDefault="008A4D93" w:rsidP="00D853BD">
      <w:pPr>
        <w:spacing w:before="0" w:line="276" w:lineRule="auto"/>
        <w:jc w:val="both"/>
      </w:pPr>
    </w:p>
    <w:p w14:paraId="3A9FC24E" w14:textId="54255EB2" w:rsidR="008A4D93" w:rsidRDefault="008A4D93" w:rsidP="00D853BD">
      <w:pPr>
        <w:spacing w:before="0" w:line="276" w:lineRule="auto"/>
        <w:jc w:val="both"/>
      </w:pPr>
      <w:r>
        <w:t xml:space="preserve">Conformément </w:t>
      </w:r>
      <w:r w:rsidR="00F8303E">
        <w:t>au code de l’action sociale et des familles</w:t>
      </w:r>
      <w:r>
        <w:t>, la mise en œuvre de l’AEMO et de l’AEMO-IH repose sur</w:t>
      </w:r>
      <w:r w:rsidR="00AD3C1A">
        <w:t xml:space="preserve"> une</w:t>
      </w:r>
      <w:r>
        <w:t xml:space="preserve"> </w:t>
      </w:r>
      <w:r w:rsidR="00D853BD">
        <w:t>autorisation</w:t>
      </w:r>
      <w:r>
        <w:t xml:space="preserve"> conjointe </w:t>
      </w:r>
      <w:r w:rsidR="00AD3C1A">
        <w:t>du</w:t>
      </w:r>
      <w:r>
        <w:t xml:space="preserve"> Conseil départemental, garant du pilotage et du financement, et </w:t>
      </w:r>
      <w:r w:rsidR="006F2359">
        <w:t xml:space="preserve">du Préfet pour le compte duquel </w:t>
      </w:r>
      <w:r>
        <w:t xml:space="preserve">la </w:t>
      </w:r>
      <w:r w:rsidR="006F2359">
        <w:t xml:space="preserve">direction territoriale de la </w:t>
      </w:r>
      <w:r>
        <w:t>Protection judiciaire de la jeunesse</w:t>
      </w:r>
      <w:r w:rsidR="006F2359" w:rsidRPr="006F2359">
        <w:t xml:space="preserve"> </w:t>
      </w:r>
      <w:r w:rsidR="006F2359">
        <w:t>est service instructeur</w:t>
      </w:r>
      <w:r>
        <w:t>.</w:t>
      </w:r>
      <w:r w:rsidR="00E86CDF" w:rsidRPr="00E86CDF">
        <w:t xml:space="preserve"> </w:t>
      </w:r>
    </w:p>
    <w:p w14:paraId="720E9258" w14:textId="77777777" w:rsidR="008A4D93" w:rsidRDefault="008A4D93" w:rsidP="00D853BD">
      <w:pPr>
        <w:spacing w:before="0" w:line="276" w:lineRule="auto"/>
        <w:jc w:val="both"/>
      </w:pPr>
    </w:p>
    <w:p w14:paraId="6C82964D" w14:textId="6B01F0E2" w:rsidR="00E86CDF" w:rsidRPr="00E86CDF" w:rsidRDefault="00F8303E" w:rsidP="00D853BD">
      <w:pPr>
        <w:spacing w:before="0" w:line="276" w:lineRule="auto"/>
        <w:jc w:val="both"/>
      </w:pPr>
      <w:r>
        <w:t>Au regard de ce</w:t>
      </w:r>
      <w:r w:rsidR="008A4D93">
        <w:t>s constats</w:t>
      </w:r>
      <w:r>
        <w:t>, le Département de Maine-et-Loire et la Direction Territoriale de la Protection Judiciaire de la Jeunesse 49/72/53</w:t>
      </w:r>
      <w:r w:rsidR="008A4D93">
        <w:t xml:space="preserve"> </w:t>
      </w:r>
      <w:r>
        <w:t>ont lancé une réflexion approfondie sur</w:t>
      </w:r>
      <w:r w:rsidR="00E86CDF" w:rsidRPr="00E86CDF">
        <w:t xml:space="preserve"> </w:t>
      </w:r>
      <w:r>
        <w:t xml:space="preserve">l’évolution de </w:t>
      </w:r>
      <w:r w:rsidR="00E86CDF" w:rsidRPr="00E86CDF">
        <w:t>l’offre éducative</w:t>
      </w:r>
      <w:r w:rsidR="008A4D93">
        <w:t xml:space="preserve"> relative au milieu ouvert judiciaire</w:t>
      </w:r>
      <w:r w:rsidR="00E86CDF" w:rsidRPr="00E86CDF">
        <w:t>.</w:t>
      </w:r>
    </w:p>
    <w:p w14:paraId="21D71E19" w14:textId="3C95DFC1" w:rsidR="0011511A" w:rsidRDefault="0011511A" w:rsidP="00D853BD">
      <w:pPr>
        <w:spacing w:before="0" w:line="276" w:lineRule="auto"/>
        <w:jc w:val="both"/>
        <w:rPr>
          <w:rFonts w:cstheme="minorHAnsi"/>
          <w:sz w:val="22"/>
          <w:szCs w:val="22"/>
        </w:rPr>
      </w:pPr>
    </w:p>
    <w:p w14:paraId="5CB5C4C1" w14:textId="77777777" w:rsidR="00D853BD" w:rsidRPr="000F3D97" w:rsidRDefault="00D853BD" w:rsidP="00D853BD">
      <w:pPr>
        <w:spacing w:before="0" w:line="276" w:lineRule="auto"/>
        <w:jc w:val="both"/>
        <w:rPr>
          <w:rFonts w:cstheme="minorHAnsi"/>
          <w:sz w:val="22"/>
          <w:szCs w:val="22"/>
        </w:rPr>
      </w:pPr>
    </w:p>
    <w:p w14:paraId="6F5A5C60" w14:textId="4BB47043" w:rsidR="0011511A" w:rsidRPr="0011511A" w:rsidRDefault="0011511A" w:rsidP="00746CFF">
      <w:pPr>
        <w:pStyle w:val="Titre1"/>
        <w:spacing w:before="0" w:after="0" w:line="276" w:lineRule="auto"/>
        <w:rPr>
          <w:sz w:val="40"/>
        </w:rPr>
      </w:pPr>
      <w:bookmarkStart w:id="6" w:name="_Toc206059856"/>
      <w:r>
        <w:rPr>
          <w:sz w:val="40"/>
        </w:rPr>
        <w:t>3</w:t>
      </w:r>
      <w:r w:rsidRPr="0011511A">
        <w:rPr>
          <w:sz w:val="40"/>
        </w:rPr>
        <w:t xml:space="preserve"> </w:t>
      </w:r>
      <w:r>
        <w:rPr>
          <w:sz w:val="40"/>
        </w:rPr>
        <w:t>–</w:t>
      </w:r>
      <w:r w:rsidRPr="0011511A">
        <w:rPr>
          <w:sz w:val="40"/>
        </w:rPr>
        <w:t xml:space="preserve"> </w:t>
      </w:r>
      <w:r>
        <w:rPr>
          <w:sz w:val="40"/>
        </w:rPr>
        <w:t>Objet de l’appel à projet, cadre d’intervention</w:t>
      </w:r>
      <w:bookmarkEnd w:id="6"/>
    </w:p>
    <w:p w14:paraId="6CDA3D2E" w14:textId="2C2A993D" w:rsidR="00D853BD" w:rsidRDefault="00D853BD" w:rsidP="00D853BD">
      <w:pPr>
        <w:spacing w:before="0" w:line="276" w:lineRule="auto"/>
        <w:jc w:val="both"/>
      </w:pPr>
      <w:r w:rsidRPr="00D853BD">
        <w:t xml:space="preserve">L’évolution des besoins, des pratiques professionnelles et du cadre juridique conduit aujourd’hui à repenser de manière globale les modalités d’intervention et l’organisation du milieu ouvert judiciaire, afin de mieux accompagner les enfants et familles, de renforcer </w:t>
      </w:r>
      <w:r w:rsidRPr="00D853BD">
        <w:lastRenderedPageBreak/>
        <w:t>le dispositif, d’améliorer la qualité des prises en charge et de prévenir les ruptures de parcours.</w:t>
      </w:r>
    </w:p>
    <w:p w14:paraId="79458AD4" w14:textId="77777777" w:rsidR="00374E6A" w:rsidRPr="00D853BD" w:rsidRDefault="00374E6A" w:rsidP="00D853BD">
      <w:pPr>
        <w:spacing w:before="0" w:line="276" w:lineRule="auto"/>
        <w:jc w:val="both"/>
      </w:pPr>
    </w:p>
    <w:p w14:paraId="0B6A078C" w14:textId="6FE06CE4" w:rsidR="00D853BD" w:rsidRDefault="00D853BD" w:rsidP="00D853BD">
      <w:pPr>
        <w:spacing w:before="0" w:line="276" w:lineRule="auto"/>
        <w:jc w:val="both"/>
      </w:pPr>
      <w:r w:rsidRPr="00D853BD">
        <w:t xml:space="preserve">En cohérence avec l’orientation stratégique n°3 du Schéma départemental enfance-famille 2023-2027 </w:t>
      </w:r>
      <w:r>
        <w:t>-</w:t>
      </w:r>
      <w:r w:rsidRPr="00D853BD">
        <w:t xml:space="preserve"> « Diversifier l’offre d’accueil et d’accompagnement et développer un système de protection ‘hors les murs’, priorisant l’environ</w:t>
      </w:r>
      <w:r>
        <w:t xml:space="preserve">nement immédiat des enfants » - </w:t>
      </w:r>
      <w:r w:rsidRPr="00D853BD">
        <w:t>le Département de Maine-et-Loire, en partenariat avec DTPJJ 49/72/53, a souhaité repenser les modalités du milieu ouvert judiciaire afin d’harmoniser les dispositifs et de sécuriser les parcours.</w:t>
      </w:r>
    </w:p>
    <w:p w14:paraId="0FBE5128" w14:textId="77777777" w:rsidR="00374E6A" w:rsidRDefault="00374E6A" w:rsidP="00D853BD">
      <w:pPr>
        <w:spacing w:before="0" w:line="276" w:lineRule="auto"/>
        <w:jc w:val="both"/>
      </w:pPr>
    </w:p>
    <w:p w14:paraId="4DC2896A" w14:textId="2F996F1E" w:rsidR="00356500" w:rsidRDefault="00356500" w:rsidP="00D853BD">
      <w:pPr>
        <w:spacing w:before="0" w:line="276" w:lineRule="auto"/>
        <w:jc w:val="both"/>
      </w:pPr>
      <w:r>
        <w:t>Ce travail, fondé</w:t>
      </w:r>
      <w:r w:rsidRPr="00D853BD">
        <w:t xml:space="preserve"> sur une concertation étroite avec l’ensemble des acteurs locaux (Tribunal pour enfants, services départementaux de protection de l’enfance, a</w:t>
      </w:r>
      <w:r>
        <w:t xml:space="preserve">ssociations habilitées et PJJ) </w:t>
      </w:r>
      <w:r w:rsidRPr="00D853BD">
        <w:t>a abouti à l’élabora</w:t>
      </w:r>
      <w:r>
        <w:t xml:space="preserve">tion du présent appel à projets avec pour objectifs : </w:t>
      </w:r>
    </w:p>
    <w:p w14:paraId="7BBE7855" w14:textId="77777777" w:rsidR="00356500" w:rsidRPr="00356500" w:rsidRDefault="00356500" w:rsidP="00356500">
      <w:pPr>
        <w:autoSpaceDE w:val="0"/>
        <w:autoSpaceDN w:val="0"/>
        <w:adjustRightInd w:val="0"/>
        <w:spacing w:before="0" w:line="276" w:lineRule="auto"/>
        <w:contextualSpacing/>
        <w:jc w:val="both"/>
      </w:pPr>
    </w:p>
    <w:p w14:paraId="551B444C" w14:textId="77777777" w:rsidR="00356500" w:rsidRPr="00356500" w:rsidRDefault="00356500" w:rsidP="00356500">
      <w:pPr>
        <w:numPr>
          <w:ilvl w:val="0"/>
          <w:numId w:val="7"/>
        </w:numPr>
        <w:spacing w:before="0" w:line="276" w:lineRule="auto"/>
        <w:contextualSpacing/>
        <w:jc w:val="both"/>
        <w:rPr>
          <w:b/>
        </w:rPr>
      </w:pPr>
      <w:r w:rsidRPr="00356500">
        <w:rPr>
          <w:b/>
        </w:rPr>
        <w:t>Procéder à la mise en conformité juridique : mettre fin aux mesures de Placement Éducatif à Domicile (PEAD), conformément à l’arrêt de la Cour de cassation d’octobre 2024, au profit de mesures d’Action Éducative en Milieu Ouvert Intensive avec Hébergement (AEMO-IH) ;</w:t>
      </w:r>
    </w:p>
    <w:p w14:paraId="1217F559" w14:textId="77777777" w:rsidR="00356500" w:rsidRPr="00356500" w:rsidRDefault="00356500" w:rsidP="00356500">
      <w:pPr>
        <w:spacing w:before="0" w:line="276" w:lineRule="auto"/>
        <w:ind w:left="720"/>
        <w:contextualSpacing/>
        <w:jc w:val="both"/>
        <w:rPr>
          <w:b/>
        </w:rPr>
      </w:pPr>
    </w:p>
    <w:p w14:paraId="3C2C13BA" w14:textId="61BFE23D" w:rsidR="00356500" w:rsidRPr="00356500" w:rsidRDefault="00E9297A" w:rsidP="00356500">
      <w:pPr>
        <w:numPr>
          <w:ilvl w:val="0"/>
          <w:numId w:val="7"/>
        </w:numPr>
        <w:spacing w:before="0" w:line="276" w:lineRule="auto"/>
        <w:contextualSpacing/>
        <w:jc w:val="both"/>
        <w:rPr>
          <w:b/>
        </w:rPr>
      </w:pPr>
      <w:r>
        <w:rPr>
          <w:b/>
        </w:rPr>
        <w:t>Optimis</w:t>
      </w:r>
      <w:r w:rsidR="00356500" w:rsidRPr="00356500">
        <w:rPr>
          <w:b/>
        </w:rPr>
        <w:t>er le dispositif du milieu ouvert judiciaire à moyens constants : réorganiser les ressources existantes en arrêtant les mesures d’Action Éducative en Milieu Ouvert Renforcée (AEMO-R) au profit d’un renforcement des mesures d’AEMO dites classiques;</w:t>
      </w:r>
    </w:p>
    <w:p w14:paraId="01FD897C" w14:textId="77777777" w:rsidR="00356500" w:rsidRPr="00356500" w:rsidRDefault="00356500" w:rsidP="00356500">
      <w:pPr>
        <w:spacing w:before="0" w:line="276" w:lineRule="auto"/>
        <w:contextualSpacing/>
        <w:jc w:val="both"/>
        <w:rPr>
          <w:b/>
        </w:rPr>
      </w:pPr>
    </w:p>
    <w:p w14:paraId="76901563" w14:textId="149411D8" w:rsidR="00356500" w:rsidRPr="00356500" w:rsidRDefault="00356500" w:rsidP="00356500">
      <w:pPr>
        <w:numPr>
          <w:ilvl w:val="0"/>
          <w:numId w:val="7"/>
        </w:numPr>
        <w:spacing w:before="0" w:line="276" w:lineRule="auto"/>
        <w:contextualSpacing/>
        <w:jc w:val="both"/>
        <w:rPr>
          <w:b/>
        </w:rPr>
      </w:pPr>
      <w:r w:rsidRPr="00356500">
        <w:rPr>
          <w:b/>
        </w:rPr>
        <w:t>Garantir la continuité et la simplification des parcours : assurer une prise en charge cohérente et continue des enfants en confiant à chaque opérateur l’exercice de mesures d’AEMO et d’AEMO-IH pour permettre la poursuite de l’accompagnement par un même service, voire un même professionnel si cela correspond aux besoins de l’enfant, en cas d’évolution de la mesure ;</w:t>
      </w:r>
    </w:p>
    <w:p w14:paraId="109171C7" w14:textId="77777777" w:rsidR="00356500" w:rsidRPr="00356500" w:rsidRDefault="00356500" w:rsidP="00356500">
      <w:pPr>
        <w:spacing w:before="0" w:line="276" w:lineRule="auto"/>
        <w:contextualSpacing/>
        <w:jc w:val="both"/>
        <w:rPr>
          <w:b/>
        </w:rPr>
      </w:pPr>
    </w:p>
    <w:p w14:paraId="36C69E9C" w14:textId="77777777" w:rsidR="00356500" w:rsidRPr="00356500" w:rsidRDefault="00356500" w:rsidP="00356500">
      <w:pPr>
        <w:numPr>
          <w:ilvl w:val="0"/>
          <w:numId w:val="7"/>
        </w:numPr>
        <w:spacing w:before="0" w:line="276" w:lineRule="auto"/>
        <w:contextualSpacing/>
        <w:jc w:val="both"/>
        <w:rPr>
          <w:b/>
        </w:rPr>
      </w:pPr>
      <w:r w:rsidRPr="00356500">
        <w:rPr>
          <w:b/>
        </w:rPr>
        <w:t>Renforcer le rôle de pilote du Département : repositionner le Département en tant que pilote stratégique du dispositif du milieu ouvert judiciaire ;</w:t>
      </w:r>
    </w:p>
    <w:p w14:paraId="7CBF8CCD" w14:textId="77777777" w:rsidR="00356500" w:rsidRPr="00356500" w:rsidRDefault="00356500" w:rsidP="00356500">
      <w:pPr>
        <w:spacing w:before="0"/>
        <w:ind w:left="720"/>
        <w:contextualSpacing/>
        <w:rPr>
          <w:rFonts w:ascii="Times New Roman" w:eastAsia="Times New Roman" w:hAnsi="Times New Roman" w:cs="Times New Roman"/>
          <w:b/>
          <w:sz w:val="20"/>
          <w:szCs w:val="20"/>
          <w:lang w:eastAsia="fr-FR"/>
        </w:rPr>
      </w:pPr>
    </w:p>
    <w:p w14:paraId="5B899546" w14:textId="77777777" w:rsidR="00356500" w:rsidRPr="00356500" w:rsidRDefault="00356500" w:rsidP="00356500">
      <w:pPr>
        <w:numPr>
          <w:ilvl w:val="0"/>
          <w:numId w:val="7"/>
        </w:numPr>
        <w:spacing w:before="0" w:line="276" w:lineRule="auto"/>
        <w:contextualSpacing/>
        <w:jc w:val="both"/>
        <w:rPr>
          <w:b/>
        </w:rPr>
      </w:pPr>
      <w:r w:rsidRPr="00356500">
        <w:rPr>
          <w:b/>
        </w:rPr>
        <w:t>Territorialiser l’offre : structurer les interventions par territoire afin de favoriser une coordination de proximité entre les acteurs et un travail en réseau, et d'assurer un accompagnement au plus près des besoins des enfants et des familles ;</w:t>
      </w:r>
    </w:p>
    <w:p w14:paraId="7E0A4A7D" w14:textId="4B69F1E6" w:rsidR="00806658" w:rsidRPr="00D853BD" w:rsidRDefault="00806658" w:rsidP="00D853BD">
      <w:pPr>
        <w:spacing w:before="0" w:line="276" w:lineRule="auto"/>
        <w:jc w:val="both"/>
      </w:pPr>
    </w:p>
    <w:p w14:paraId="780F8A64" w14:textId="5294E5E1" w:rsidR="00D853BD" w:rsidRDefault="00D853BD" w:rsidP="00D853BD">
      <w:pPr>
        <w:spacing w:before="0" w:line="276" w:lineRule="auto"/>
        <w:jc w:val="both"/>
      </w:pPr>
    </w:p>
    <w:p w14:paraId="1DA630D7" w14:textId="1A9F9B25" w:rsidR="0011511A" w:rsidRPr="00D853BD" w:rsidRDefault="0011511A" w:rsidP="00D853BD">
      <w:pPr>
        <w:spacing w:before="0" w:line="276" w:lineRule="auto"/>
        <w:jc w:val="both"/>
      </w:pPr>
      <w:r w:rsidRPr="00D853BD">
        <w:t xml:space="preserve">Le cahier des charges de l’appel à projet est annexé au présent avis. </w:t>
      </w:r>
    </w:p>
    <w:p w14:paraId="68F2F830" w14:textId="45BE4D3A" w:rsidR="00D853BD" w:rsidRDefault="00D853BD" w:rsidP="00D853BD">
      <w:pPr>
        <w:spacing w:before="0" w:line="276" w:lineRule="auto"/>
        <w:rPr>
          <w:sz w:val="22"/>
          <w:szCs w:val="22"/>
        </w:rPr>
      </w:pPr>
    </w:p>
    <w:p w14:paraId="30A58A48" w14:textId="77777777" w:rsidR="00806658" w:rsidRPr="0004646A" w:rsidRDefault="00806658" w:rsidP="00D853BD">
      <w:pPr>
        <w:spacing w:before="0" w:line="276" w:lineRule="auto"/>
        <w:rPr>
          <w:sz w:val="22"/>
          <w:szCs w:val="22"/>
        </w:rPr>
      </w:pPr>
    </w:p>
    <w:p w14:paraId="5D61D7AE" w14:textId="65658EC0" w:rsidR="0011511A" w:rsidRPr="0011511A" w:rsidRDefault="0011511A" w:rsidP="00D853BD">
      <w:pPr>
        <w:pStyle w:val="Titre1"/>
        <w:spacing w:before="0" w:after="0" w:line="276" w:lineRule="auto"/>
        <w:jc w:val="both"/>
        <w:rPr>
          <w:sz w:val="40"/>
        </w:rPr>
      </w:pPr>
      <w:bookmarkStart w:id="7" w:name="_Toc206059857"/>
      <w:r>
        <w:rPr>
          <w:sz w:val="40"/>
        </w:rPr>
        <w:t>4</w:t>
      </w:r>
      <w:r w:rsidRPr="0011511A">
        <w:rPr>
          <w:sz w:val="40"/>
        </w:rPr>
        <w:t xml:space="preserve"> </w:t>
      </w:r>
      <w:r>
        <w:rPr>
          <w:sz w:val="40"/>
        </w:rPr>
        <w:t>–</w:t>
      </w:r>
      <w:r w:rsidRPr="0011511A">
        <w:rPr>
          <w:sz w:val="40"/>
        </w:rPr>
        <w:t xml:space="preserve"> </w:t>
      </w:r>
      <w:r>
        <w:rPr>
          <w:sz w:val="40"/>
        </w:rPr>
        <w:t>Dispositions légales et réglementaires</w:t>
      </w:r>
      <w:bookmarkEnd w:id="7"/>
    </w:p>
    <w:p w14:paraId="2F2E40D3" w14:textId="31BD7E27" w:rsidR="008E0788" w:rsidRPr="00806658" w:rsidRDefault="008E0788" w:rsidP="00806658">
      <w:pPr>
        <w:spacing w:before="0" w:line="276" w:lineRule="auto"/>
        <w:jc w:val="both"/>
        <w:rPr>
          <w:szCs w:val="21"/>
        </w:rPr>
      </w:pPr>
      <w:r w:rsidRPr="00806658">
        <w:rPr>
          <w:szCs w:val="21"/>
        </w:rPr>
        <w:t>Le présent appel à projet relève de la catégorie d’interven</w:t>
      </w:r>
      <w:r w:rsidR="00097CC3" w:rsidRPr="00806658">
        <w:rPr>
          <w:szCs w:val="21"/>
        </w:rPr>
        <w:t>tion fixée à l’article L312-1</w:t>
      </w:r>
      <w:r w:rsidR="006F2359">
        <w:rPr>
          <w:szCs w:val="21"/>
        </w:rPr>
        <w:t xml:space="preserve"> I</w:t>
      </w:r>
      <w:r w:rsidR="00097CC3" w:rsidRPr="00806658">
        <w:rPr>
          <w:szCs w:val="21"/>
        </w:rPr>
        <w:t xml:space="preserve"> 1</w:t>
      </w:r>
      <w:r w:rsidRPr="00806658">
        <w:rPr>
          <w:szCs w:val="21"/>
        </w:rPr>
        <w:t xml:space="preserve">° du Code de l’Action Sociale et des Familles relatif aux établissements et services à </w:t>
      </w:r>
      <w:r w:rsidR="00097CC3" w:rsidRPr="00806658">
        <w:rPr>
          <w:szCs w:val="21"/>
        </w:rPr>
        <w:t>mettant en œuvre des mesures de prévention ou d’aide sociale à l’enfance</w:t>
      </w:r>
      <w:r w:rsidR="006F2359">
        <w:rPr>
          <w:szCs w:val="21"/>
        </w:rPr>
        <w:t xml:space="preserve"> et au 4° du I du même </w:t>
      </w:r>
      <w:r w:rsidR="006F2359">
        <w:rPr>
          <w:szCs w:val="21"/>
        </w:rPr>
        <w:lastRenderedPageBreak/>
        <w:t xml:space="preserve">article relatif aux établissements et </w:t>
      </w:r>
      <w:r w:rsidR="006F2359" w:rsidRPr="005F0574">
        <w:rPr>
          <w:szCs w:val="21"/>
        </w:rPr>
        <w:t xml:space="preserve">services mettant en </w:t>
      </w:r>
      <w:r w:rsidR="00DF2CB0" w:rsidRPr="005F0574">
        <w:rPr>
          <w:szCs w:val="21"/>
        </w:rPr>
        <w:t>œuvre</w:t>
      </w:r>
      <w:r w:rsidR="006F2359" w:rsidRPr="005F0574">
        <w:rPr>
          <w:szCs w:val="21"/>
        </w:rPr>
        <w:t xml:space="preserve"> les mesures éducatives ordonnées par l'autorité judiciaire en application des articles 375 à 375-8 du code civil</w:t>
      </w:r>
      <w:r w:rsidR="00097CC3" w:rsidRPr="00806658">
        <w:rPr>
          <w:szCs w:val="21"/>
        </w:rPr>
        <w:t xml:space="preserve">. </w:t>
      </w:r>
      <w:r w:rsidRPr="00806658">
        <w:rPr>
          <w:szCs w:val="21"/>
        </w:rPr>
        <w:t xml:space="preserve"> </w:t>
      </w:r>
    </w:p>
    <w:p w14:paraId="2063F361" w14:textId="77777777" w:rsidR="00806658" w:rsidRPr="00806658" w:rsidRDefault="00806658" w:rsidP="00806658">
      <w:pPr>
        <w:spacing w:before="0" w:line="276" w:lineRule="auto"/>
        <w:jc w:val="both"/>
        <w:rPr>
          <w:szCs w:val="21"/>
        </w:rPr>
      </w:pPr>
    </w:p>
    <w:p w14:paraId="5B07D0D8" w14:textId="509DA3FF" w:rsidR="00187D2B" w:rsidRPr="00806658" w:rsidRDefault="00187D2B" w:rsidP="00806658">
      <w:pPr>
        <w:spacing w:before="0" w:line="276" w:lineRule="auto"/>
        <w:jc w:val="both"/>
        <w:rPr>
          <w:szCs w:val="21"/>
        </w:rPr>
      </w:pPr>
      <w:r w:rsidRPr="00806658">
        <w:rPr>
          <w:szCs w:val="21"/>
        </w:rPr>
        <w:t xml:space="preserve">Les dispositions légales qui s’appliquent au dispositif </w:t>
      </w:r>
      <w:r w:rsidR="00374E6A">
        <w:rPr>
          <w:szCs w:val="21"/>
        </w:rPr>
        <w:t>relèvent des articles</w:t>
      </w:r>
      <w:r w:rsidRPr="00806658">
        <w:rPr>
          <w:szCs w:val="21"/>
        </w:rPr>
        <w:t xml:space="preserve"> L. 112-3, L. 116-1, L. 116-2, L. 121</w:t>
      </w:r>
      <w:r w:rsidR="00097CC3" w:rsidRPr="00806658">
        <w:rPr>
          <w:szCs w:val="21"/>
        </w:rPr>
        <w:t>-2, L. 311-1, L. 312-1</w:t>
      </w:r>
      <w:r w:rsidR="006F2359">
        <w:rPr>
          <w:szCs w:val="21"/>
        </w:rPr>
        <w:t xml:space="preserve"> I</w:t>
      </w:r>
      <w:r w:rsidR="00097CC3" w:rsidRPr="00806658">
        <w:rPr>
          <w:szCs w:val="21"/>
        </w:rPr>
        <w:t xml:space="preserve"> 1°</w:t>
      </w:r>
      <w:r w:rsidR="006F2359">
        <w:rPr>
          <w:szCs w:val="21"/>
        </w:rPr>
        <w:t xml:space="preserve"> et 4°</w:t>
      </w:r>
      <w:r w:rsidRPr="00806658">
        <w:rPr>
          <w:szCs w:val="21"/>
        </w:rPr>
        <w:t xml:space="preserve"> du Code de l’action sociale et des familles</w:t>
      </w:r>
      <w:r w:rsidR="006F2359" w:rsidRPr="006F2359">
        <w:rPr>
          <w:szCs w:val="21"/>
        </w:rPr>
        <w:t xml:space="preserve"> </w:t>
      </w:r>
      <w:r w:rsidR="006F2359">
        <w:rPr>
          <w:szCs w:val="21"/>
        </w:rPr>
        <w:t>et des articles 375-2 à 375-8 du code civil</w:t>
      </w:r>
      <w:r w:rsidRPr="00806658">
        <w:rPr>
          <w:szCs w:val="21"/>
        </w:rPr>
        <w:t xml:space="preserve">. </w:t>
      </w:r>
    </w:p>
    <w:p w14:paraId="4528EA41" w14:textId="77777777" w:rsidR="00806658" w:rsidRPr="00806658" w:rsidRDefault="00806658" w:rsidP="00806658">
      <w:pPr>
        <w:spacing w:before="0" w:line="276" w:lineRule="auto"/>
        <w:jc w:val="both"/>
        <w:rPr>
          <w:szCs w:val="21"/>
        </w:rPr>
      </w:pPr>
    </w:p>
    <w:p w14:paraId="48AFE303" w14:textId="01EF0DC9" w:rsidR="00187D2B" w:rsidRPr="00806658" w:rsidRDefault="00187D2B" w:rsidP="00806658">
      <w:pPr>
        <w:spacing w:before="0" w:line="276" w:lineRule="auto"/>
        <w:jc w:val="both"/>
        <w:rPr>
          <w:szCs w:val="21"/>
        </w:rPr>
      </w:pPr>
      <w:r w:rsidRPr="00806658">
        <w:rPr>
          <w:szCs w:val="21"/>
        </w:rPr>
        <w:t xml:space="preserve">La procédure d’appel à projet est régie notamment par les </w:t>
      </w:r>
      <w:r w:rsidR="00374E6A">
        <w:rPr>
          <w:szCs w:val="21"/>
        </w:rPr>
        <w:t>a</w:t>
      </w:r>
      <w:r w:rsidRPr="00806658">
        <w:rPr>
          <w:szCs w:val="21"/>
        </w:rPr>
        <w:t>rticles L. 313-1, L. 313-1-1 et L. 313-3 et les articles R. 313-1 et suivants du Code de l’action sociale et des familles.</w:t>
      </w:r>
    </w:p>
    <w:p w14:paraId="65C26B52" w14:textId="4D215AAF" w:rsidR="00806658" w:rsidRPr="00806658" w:rsidRDefault="00806658" w:rsidP="00806658">
      <w:pPr>
        <w:spacing w:before="0" w:line="276" w:lineRule="auto"/>
        <w:jc w:val="both"/>
        <w:rPr>
          <w:szCs w:val="21"/>
        </w:rPr>
      </w:pPr>
    </w:p>
    <w:p w14:paraId="13A0D59A" w14:textId="77777777" w:rsidR="00806658" w:rsidRPr="00187D2B" w:rsidRDefault="00806658" w:rsidP="00D853BD">
      <w:pPr>
        <w:spacing w:before="0" w:line="276" w:lineRule="auto"/>
        <w:rPr>
          <w:sz w:val="22"/>
          <w:szCs w:val="22"/>
        </w:rPr>
      </w:pPr>
    </w:p>
    <w:p w14:paraId="125543BE" w14:textId="3D9B47DC" w:rsidR="0011511A" w:rsidRPr="00806658" w:rsidRDefault="0011511A" w:rsidP="00D853BD">
      <w:pPr>
        <w:pStyle w:val="Titre1"/>
        <w:spacing w:before="0" w:after="0" w:line="276" w:lineRule="auto"/>
        <w:jc w:val="both"/>
        <w:rPr>
          <w:sz w:val="21"/>
          <w:szCs w:val="21"/>
        </w:rPr>
      </w:pPr>
      <w:bookmarkStart w:id="8" w:name="_Toc206059858"/>
      <w:r>
        <w:rPr>
          <w:sz w:val="40"/>
        </w:rPr>
        <w:t>5</w:t>
      </w:r>
      <w:r w:rsidRPr="0011511A">
        <w:rPr>
          <w:sz w:val="40"/>
        </w:rPr>
        <w:t xml:space="preserve"> </w:t>
      </w:r>
      <w:r>
        <w:rPr>
          <w:sz w:val="40"/>
        </w:rPr>
        <w:t>–</w:t>
      </w:r>
      <w:r w:rsidRPr="0011511A">
        <w:rPr>
          <w:sz w:val="40"/>
        </w:rPr>
        <w:t xml:space="preserve"> </w:t>
      </w:r>
      <w:r w:rsidR="004237E8">
        <w:rPr>
          <w:sz w:val="40"/>
        </w:rPr>
        <w:t>Modalités d’instruction</w:t>
      </w:r>
      <w:r>
        <w:rPr>
          <w:sz w:val="40"/>
        </w:rPr>
        <w:t xml:space="preserve"> et critères de </w:t>
      </w:r>
      <w:r w:rsidRPr="00FD3924">
        <w:rPr>
          <w:sz w:val="40"/>
        </w:rPr>
        <w:t>sélection</w:t>
      </w:r>
      <w:bookmarkEnd w:id="8"/>
    </w:p>
    <w:p w14:paraId="4AD2A574" w14:textId="7E826D6E" w:rsidR="0011511A" w:rsidRDefault="0011511A" w:rsidP="00D853BD">
      <w:pPr>
        <w:spacing w:before="0" w:line="276" w:lineRule="auto"/>
        <w:jc w:val="both"/>
        <w:rPr>
          <w:szCs w:val="21"/>
        </w:rPr>
      </w:pPr>
    </w:p>
    <w:p w14:paraId="43BC4BC0" w14:textId="1DA02E14" w:rsidR="00131AFD" w:rsidRPr="00131AFD" w:rsidRDefault="00131AFD" w:rsidP="00131AFD">
      <w:pPr>
        <w:pStyle w:val="Titre2"/>
        <w:spacing w:before="0" w:after="0" w:line="276" w:lineRule="auto"/>
      </w:pPr>
      <w:bookmarkStart w:id="9" w:name="_Toc206059859"/>
      <w:r>
        <w:t xml:space="preserve">1/ </w:t>
      </w:r>
      <w:r w:rsidRPr="00131AFD">
        <w:t>Documents relatifs au projet :</w:t>
      </w:r>
      <w:bookmarkEnd w:id="9"/>
    </w:p>
    <w:p w14:paraId="29B2D4A0" w14:textId="627FC0DB" w:rsidR="00131AFD" w:rsidRDefault="00131AFD" w:rsidP="00131AFD">
      <w:pPr>
        <w:pStyle w:val="Default"/>
        <w:spacing w:line="276" w:lineRule="auto"/>
        <w:jc w:val="both"/>
        <w:rPr>
          <w:rFonts w:asciiTheme="minorHAnsi" w:hAnsiTheme="minorHAnsi"/>
          <w:sz w:val="21"/>
          <w:szCs w:val="21"/>
        </w:rPr>
      </w:pPr>
      <w:r w:rsidRPr="006B1EE7">
        <w:rPr>
          <w:rFonts w:asciiTheme="minorHAnsi" w:hAnsiTheme="minorHAnsi"/>
          <w:sz w:val="21"/>
          <w:szCs w:val="21"/>
        </w:rPr>
        <w:t>Il est attendu du candidat une réponse concrète et personnalisée, au-delà des simples références règlementaires ou de la mention</w:t>
      </w:r>
      <w:r w:rsidRPr="00FD3924">
        <w:rPr>
          <w:rFonts w:asciiTheme="minorHAnsi" w:hAnsiTheme="minorHAnsi"/>
          <w:sz w:val="21"/>
          <w:szCs w:val="21"/>
        </w:rPr>
        <w:t xml:space="preserve"> des différents points du cahier des charges. </w:t>
      </w:r>
    </w:p>
    <w:p w14:paraId="5A168240" w14:textId="5794CA6F" w:rsidR="001405C2" w:rsidRPr="00FD3924" w:rsidRDefault="001405C2" w:rsidP="00131AFD">
      <w:pPr>
        <w:pStyle w:val="Default"/>
        <w:spacing w:line="276" w:lineRule="auto"/>
        <w:jc w:val="both"/>
        <w:rPr>
          <w:rFonts w:asciiTheme="minorHAnsi" w:hAnsiTheme="minorHAnsi"/>
          <w:sz w:val="21"/>
          <w:szCs w:val="21"/>
        </w:rPr>
      </w:pPr>
      <w:r w:rsidRPr="001405C2">
        <w:rPr>
          <w:rFonts w:asciiTheme="minorHAnsi" w:hAnsiTheme="minorHAnsi"/>
          <w:b/>
          <w:sz w:val="21"/>
          <w:szCs w:val="21"/>
        </w:rPr>
        <w:t>La candidature devra être limitée à 10 pages maximum</w:t>
      </w:r>
      <w:r>
        <w:rPr>
          <w:rFonts w:asciiTheme="minorHAnsi" w:hAnsiTheme="minorHAnsi"/>
          <w:sz w:val="21"/>
          <w:szCs w:val="21"/>
        </w:rPr>
        <w:t>.</w:t>
      </w:r>
    </w:p>
    <w:p w14:paraId="4C93C9BA" w14:textId="77777777" w:rsidR="00131AFD" w:rsidRDefault="00131AFD" w:rsidP="00131AFD">
      <w:pPr>
        <w:pStyle w:val="Default"/>
        <w:spacing w:line="276" w:lineRule="auto"/>
        <w:jc w:val="both"/>
        <w:rPr>
          <w:rFonts w:asciiTheme="minorHAnsi" w:hAnsiTheme="minorHAnsi"/>
          <w:sz w:val="21"/>
          <w:szCs w:val="21"/>
        </w:rPr>
      </w:pPr>
    </w:p>
    <w:p w14:paraId="5CAEC8F9" w14:textId="77777777" w:rsidR="00131AFD" w:rsidRPr="00FD3924" w:rsidRDefault="00131AFD" w:rsidP="00131AFD">
      <w:pPr>
        <w:pStyle w:val="Default"/>
        <w:spacing w:line="276" w:lineRule="auto"/>
        <w:jc w:val="both"/>
        <w:rPr>
          <w:rFonts w:asciiTheme="minorHAnsi" w:hAnsiTheme="minorHAnsi"/>
          <w:sz w:val="21"/>
          <w:szCs w:val="21"/>
        </w:rPr>
      </w:pPr>
      <w:r w:rsidRPr="00FD3924">
        <w:rPr>
          <w:rFonts w:asciiTheme="minorHAnsi" w:hAnsiTheme="minorHAnsi"/>
          <w:sz w:val="21"/>
          <w:szCs w:val="21"/>
        </w:rPr>
        <w:t>Le projet devra faire état des caractéristiques des différentes modalités d’accompagnement (</w:t>
      </w:r>
      <w:r w:rsidRPr="00FD3924">
        <w:rPr>
          <w:rFonts w:asciiTheme="minorHAnsi" w:hAnsiTheme="minorHAnsi"/>
          <w:i/>
          <w:iCs/>
          <w:sz w:val="21"/>
          <w:szCs w:val="21"/>
        </w:rPr>
        <w:t>description des prises en charges spécifiques, des activités proposées, l’organisation des interventions</w:t>
      </w:r>
      <w:r w:rsidRPr="00FD3924">
        <w:rPr>
          <w:rFonts w:asciiTheme="minorHAnsi" w:hAnsiTheme="minorHAnsi"/>
          <w:sz w:val="21"/>
          <w:szCs w:val="21"/>
        </w:rPr>
        <w:t xml:space="preserve">) et les spécificités apportées quant au soutien à la parentalité. </w:t>
      </w:r>
    </w:p>
    <w:p w14:paraId="3860E195" w14:textId="77777777" w:rsidR="00131AFD" w:rsidRDefault="00131AFD" w:rsidP="00131AFD">
      <w:pPr>
        <w:pStyle w:val="Default"/>
        <w:spacing w:line="276" w:lineRule="auto"/>
        <w:jc w:val="both"/>
        <w:rPr>
          <w:rFonts w:asciiTheme="minorHAnsi" w:hAnsiTheme="minorHAnsi"/>
          <w:sz w:val="21"/>
          <w:szCs w:val="21"/>
        </w:rPr>
      </w:pPr>
    </w:p>
    <w:p w14:paraId="77BAE4E5" w14:textId="4374A613" w:rsidR="00131AFD" w:rsidRPr="00FD3924" w:rsidRDefault="00131AFD" w:rsidP="00131AFD">
      <w:pPr>
        <w:pStyle w:val="Default"/>
        <w:spacing w:line="276" w:lineRule="auto"/>
        <w:jc w:val="both"/>
        <w:rPr>
          <w:rFonts w:asciiTheme="minorHAnsi" w:hAnsiTheme="minorHAnsi"/>
          <w:sz w:val="21"/>
          <w:szCs w:val="21"/>
        </w:rPr>
      </w:pPr>
      <w:r w:rsidRPr="00FD3924">
        <w:rPr>
          <w:rFonts w:asciiTheme="minorHAnsi" w:hAnsiTheme="minorHAnsi"/>
          <w:sz w:val="21"/>
          <w:szCs w:val="21"/>
        </w:rPr>
        <w:t>Le candidat présentera de la même manière les activités annexes qui pourraient être proposées ainsi que les partenariats établis dans ces différents domaines. Il est également attendu que soient établi</w:t>
      </w:r>
      <w:r w:rsidR="006E4CCB">
        <w:rPr>
          <w:rFonts w:asciiTheme="minorHAnsi" w:hAnsiTheme="minorHAnsi"/>
          <w:sz w:val="21"/>
          <w:szCs w:val="21"/>
        </w:rPr>
        <w:t>e</w:t>
      </w:r>
      <w:r w:rsidRPr="00FD3924">
        <w:rPr>
          <w:rFonts w:asciiTheme="minorHAnsi" w:hAnsiTheme="minorHAnsi"/>
          <w:sz w:val="21"/>
          <w:szCs w:val="21"/>
        </w:rPr>
        <w:t xml:space="preserve">s dans le cadre du dossier de candidature les modalités de coopération envisagée entre le gestionnaire et les services </w:t>
      </w:r>
      <w:r>
        <w:rPr>
          <w:rFonts w:asciiTheme="minorHAnsi" w:hAnsiTheme="minorHAnsi"/>
          <w:sz w:val="21"/>
          <w:szCs w:val="21"/>
        </w:rPr>
        <w:t>du Département</w:t>
      </w:r>
      <w:r w:rsidRPr="00FD3924">
        <w:rPr>
          <w:rFonts w:asciiTheme="minorHAnsi" w:hAnsiTheme="minorHAnsi"/>
          <w:sz w:val="21"/>
          <w:szCs w:val="21"/>
        </w:rPr>
        <w:t xml:space="preserve">. </w:t>
      </w:r>
    </w:p>
    <w:p w14:paraId="57EC283D" w14:textId="77777777" w:rsidR="00131AFD" w:rsidRDefault="00131AFD" w:rsidP="00131AFD">
      <w:pPr>
        <w:pStyle w:val="Default"/>
        <w:spacing w:line="276" w:lineRule="auto"/>
        <w:jc w:val="both"/>
        <w:rPr>
          <w:rFonts w:asciiTheme="minorHAnsi" w:hAnsiTheme="minorHAnsi"/>
          <w:sz w:val="21"/>
          <w:szCs w:val="21"/>
        </w:rPr>
      </w:pPr>
    </w:p>
    <w:p w14:paraId="19D0A087" w14:textId="77777777" w:rsidR="00131AFD" w:rsidRPr="00FD3924" w:rsidRDefault="00131AFD" w:rsidP="00131AFD">
      <w:pPr>
        <w:pStyle w:val="Default"/>
        <w:spacing w:line="276" w:lineRule="auto"/>
        <w:jc w:val="both"/>
        <w:rPr>
          <w:rFonts w:asciiTheme="minorHAnsi" w:hAnsiTheme="minorHAnsi"/>
          <w:sz w:val="21"/>
          <w:szCs w:val="21"/>
        </w:rPr>
      </w:pPr>
      <w:r w:rsidRPr="00FD3924">
        <w:rPr>
          <w:rFonts w:asciiTheme="minorHAnsi" w:hAnsiTheme="minorHAnsi"/>
          <w:sz w:val="21"/>
          <w:szCs w:val="21"/>
        </w:rPr>
        <w:t xml:space="preserve">Le projet devra définir la manière dont il répond à l’ensemble des besoins fondamentaux des enfants repérés, et notamment leurs besoins spécifiques en particulier : </w:t>
      </w:r>
    </w:p>
    <w:p w14:paraId="73AB11E3" w14:textId="77777777" w:rsidR="00131AFD" w:rsidRPr="00FD3924" w:rsidRDefault="00131AFD" w:rsidP="00131AFD">
      <w:pPr>
        <w:pStyle w:val="Default"/>
        <w:numPr>
          <w:ilvl w:val="0"/>
          <w:numId w:val="8"/>
        </w:numPr>
        <w:spacing w:line="276" w:lineRule="auto"/>
        <w:ind w:left="567"/>
        <w:jc w:val="both"/>
        <w:rPr>
          <w:rFonts w:asciiTheme="minorHAnsi" w:hAnsiTheme="minorHAnsi"/>
          <w:sz w:val="21"/>
          <w:szCs w:val="21"/>
        </w:rPr>
      </w:pPr>
      <w:r w:rsidRPr="00FD3924">
        <w:rPr>
          <w:rFonts w:asciiTheme="minorHAnsi" w:hAnsiTheme="minorHAnsi"/>
          <w:sz w:val="21"/>
          <w:szCs w:val="21"/>
        </w:rPr>
        <w:t xml:space="preserve">Les modalités d’accompagnement des mineurs, les relations avec son entourage ; </w:t>
      </w:r>
    </w:p>
    <w:p w14:paraId="04DA302C"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Les modalités de soutien à la parentalité </w:t>
      </w:r>
    </w:p>
    <w:p w14:paraId="4176C174" w14:textId="77777777" w:rsidR="00131AFD" w:rsidRPr="00FD3924" w:rsidRDefault="00131AFD" w:rsidP="00131AFD">
      <w:pPr>
        <w:pStyle w:val="Default"/>
        <w:numPr>
          <w:ilvl w:val="0"/>
          <w:numId w:val="8"/>
        </w:numPr>
        <w:spacing w:line="276" w:lineRule="auto"/>
        <w:ind w:left="567"/>
        <w:jc w:val="both"/>
        <w:rPr>
          <w:rFonts w:asciiTheme="minorHAnsi" w:hAnsiTheme="minorHAnsi"/>
          <w:sz w:val="21"/>
          <w:szCs w:val="21"/>
        </w:rPr>
      </w:pPr>
      <w:r w:rsidRPr="00FD3924">
        <w:rPr>
          <w:rFonts w:asciiTheme="minorHAnsi" w:hAnsiTheme="minorHAnsi"/>
          <w:sz w:val="21"/>
          <w:szCs w:val="21"/>
        </w:rPr>
        <w:t xml:space="preserve">Les modalités d’organisation interne d’intervention des équipes auprès des mineurs, y compris les modalités d’astreinte prévues, la gestion des urgences ; </w:t>
      </w:r>
    </w:p>
    <w:p w14:paraId="03E86532"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Les modalités d’organisation des transports ; </w:t>
      </w:r>
    </w:p>
    <w:p w14:paraId="057EF1C7"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L’accompagnement dans la gestion du quotidien ; </w:t>
      </w:r>
    </w:p>
    <w:p w14:paraId="720E2520"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La gestion des crises </w:t>
      </w:r>
    </w:p>
    <w:p w14:paraId="23B3218E"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Les activités proposées aux mineurs ; </w:t>
      </w:r>
    </w:p>
    <w:p w14:paraId="2A1B11D7" w14:textId="3FC8F87A" w:rsidR="00131AFD" w:rsidRPr="00746CFF" w:rsidRDefault="00AA38B4" w:rsidP="00131AFD">
      <w:pPr>
        <w:pStyle w:val="Default"/>
        <w:numPr>
          <w:ilvl w:val="0"/>
          <w:numId w:val="8"/>
        </w:numPr>
        <w:spacing w:line="276" w:lineRule="auto"/>
        <w:ind w:left="567"/>
        <w:jc w:val="both"/>
        <w:rPr>
          <w:rFonts w:asciiTheme="minorHAnsi" w:hAnsiTheme="minorHAnsi" w:cs="Wingdings"/>
          <w:sz w:val="21"/>
          <w:szCs w:val="21"/>
        </w:rPr>
      </w:pPr>
      <w:r>
        <w:rPr>
          <w:rFonts w:asciiTheme="minorHAnsi" w:hAnsiTheme="minorHAnsi"/>
          <w:sz w:val="21"/>
          <w:szCs w:val="21"/>
        </w:rPr>
        <w:t xml:space="preserve">La gestion </w:t>
      </w:r>
      <w:r w:rsidRPr="00746CFF">
        <w:rPr>
          <w:rFonts w:asciiTheme="minorHAnsi" w:hAnsiTheme="minorHAnsi" w:cs="Wingdings"/>
          <w:sz w:val="21"/>
          <w:szCs w:val="21"/>
        </w:rPr>
        <w:t xml:space="preserve">du </w:t>
      </w:r>
      <w:r w:rsidR="00746CFF" w:rsidRPr="00746CFF">
        <w:rPr>
          <w:rFonts w:asciiTheme="minorHAnsi" w:hAnsiTheme="minorHAnsi" w:cs="Wingdings"/>
          <w:sz w:val="21"/>
          <w:szCs w:val="21"/>
        </w:rPr>
        <w:t>répit pour les hébergements périodiques</w:t>
      </w:r>
      <w:r w:rsidR="00746CFF" w:rsidRPr="00746CFF" w:rsidDel="00746CFF">
        <w:rPr>
          <w:rFonts w:asciiTheme="minorHAnsi" w:hAnsiTheme="minorHAnsi" w:cs="Wingdings"/>
          <w:sz w:val="21"/>
          <w:szCs w:val="21"/>
        </w:rPr>
        <w:t xml:space="preserve"> </w:t>
      </w:r>
      <w:r w:rsidR="00131AFD" w:rsidRPr="00746CFF">
        <w:rPr>
          <w:rFonts w:asciiTheme="minorHAnsi" w:hAnsiTheme="minorHAnsi" w:cs="Wingdings"/>
          <w:sz w:val="21"/>
          <w:szCs w:val="21"/>
        </w:rPr>
        <w:t>et</w:t>
      </w:r>
      <w:r w:rsidR="00746CFF" w:rsidRPr="00746CFF">
        <w:rPr>
          <w:rFonts w:asciiTheme="minorHAnsi" w:hAnsiTheme="minorHAnsi" w:cs="Wingdings"/>
          <w:sz w:val="21"/>
          <w:szCs w:val="21"/>
        </w:rPr>
        <w:t xml:space="preserve"> du repli pour les hébergements exceptionnels,</w:t>
      </w:r>
      <w:r w:rsidR="00131AFD" w:rsidRPr="00746CFF">
        <w:rPr>
          <w:rFonts w:asciiTheme="minorHAnsi" w:hAnsiTheme="minorHAnsi" w:cs="Wingdings"/>
          <w:sz w:val="21"/>
          <w:szCs w:val="21"/>
        </w:rPr>
        <w:t xml:space="preserve"> </w:t>
      </w:r>
    </w:p>
    <w:p w14:paraId="6B8822FE" w14:textId="77777777" w:rsidR="00131AFD" w:rsidRPr="00FD3924" w:rsidRDefault="00131AFD" w:rsidP="00131AFD">
      <w:pPr>
        <w:pStyle w:val="Default"/>
        <w:numPr>
          <w:ilvl w:val="0"/>
          <w:numId w:val="8"/>
        </w:numPr>
        <w:spacing w:line="276" w:lineRule="auto"/>
        <w:ind w:left="567"/>
        <w:jc w:val="both"/>
        <w:rPr>
          <w:rFonts w:asciiTheme="minorHAnsi" w:hAnsiTheme="minorHAnsi"/>
          <w:sz w:val="21"/>
          <w:szCs w:val="21"/>
        </w:rPr>
      </w:pPr>
      <w:r w:rsidRPr="00FD3924">
        <w:rPr>
          <w:rFonts w:asciiTheme="minorHAnsi" w:hAnsiTheme="minorHAnsi"/>
          <w:sz w:val="21"/>
          <w:szCs w:val="21"/>
        </w:rPr>
        <w:t xml:space="preserve">Les actions menées en vue de préparer la fin de prise en charge du mineur ; </w:t>
      </w:r>
    </w:p>
    <w:p w14:paraId="60B36BD3" w14:textId="77777777" w:rsidR="00131AFD" w:rsidRPr="00FD3924" w:rsidRDefault="00131AFD" w:rsidP="00131AFD">
      <w:pPr>
        <w:pStyle w:val="Default"/>
        <w:numPr>
          <w:ilvl w:val="0"/>
          <w:numId w:val="8"/>
        </w:numPr>
        <w:spacing w:line="276" w:lineRule="auto"/>
        <w:ind w:left="567"/>
        <w:jc w:val="both"/>
        <w:rPr>
          <w:rFonts w:asciiTheme="minorHAnsi" w:hAnsiTheme="minorHAnsi"/>
          <w:sz w:val="21"/>
          <w:szCs w:val="21"/>
        </w:rPr>
      </w:pPr>
      <w:r w:rsidRPr="00FD3924">
        <w:rPr>
          <w:rFonts w:asciiTheme="minorHAnsi" w:hAnsiTheme="minorHAnsi"/>
          <w:sz w:val="21"/>
          <w:szCs w:val="21"/>
        </w:rPr>
        <w:t xml:space="preserve">Le travail autour de l’autonomie et l’accompagnement du mineur avant sa majorité. </w:t>
      </w:r>
    </w:p>
    <w:p w14:paraId="5E3C59BD" w14:textId="77777777" w:rsidR="00131AFD" w:rsidRPr="00FD3924" w:rsidRDefault="00131AFD" w:rsidP="00131AFD">
      <w:pPr>
        <w:pStyle w:val="Default"/>
        <w:spacing w:line="276" w:lineRule="auto"/>
        <w:jc w:val="both"/>
        <w:rPr>
          <w:rFonts w:asciiTheme="minorHAnsi" w:hAnsiTheme="minorHAnsi"/>
          <w:sz w:val="21"/>
          <w:szCs w:val="21"/>
        </w:rPr>
      </w:pPr>
    </w:p>
    <w:p w14:paraId="4C4B8A91" w14:textId="77777777" w:rsidR="00131AFD" w:rsidRPr="00FD3924" w:rsidRDefault="00131AFD" w:rsidP="00131AFD">
      <w:pPr>
        <w:tabs>
          <w:tab w:val="left" w:pos="2552"/>
          <w:tab w:val="right" w:leader="dot" w:pos="9070"/>
        </w:tabs>
        <w:spacing w:before="0" w:line="276" w:lineRule="auto"/>
        <w:jc w:val="both"/>
        <w:rPr>
          <w:rFonts w:cs="Arial"/>
          <w:color w:val="000000"/>
          <w:szCs w:val="21"/>
        </w:rPr>
      </w:pPr>
      <w:r w:rsidRPr="00FD3924">
        <w:rPr>
          <w:rFonts w:cs="Arial"/>
          <w:color w:val="000000"/>
          <w:szCs w:val="21"/>
        </w:rPr>
        <w:lastRenderedPageBreak/>
        <w:t>Le projet présentera également les documents garantissant l’effectivité des droits des usagers ainsi que leurs modalités de mise en œuvre :</w:t>
      </w:r>
    </w:p>
    <w:p w14:paraId="090FAD87"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Le livret d’accueil ; </w:t>
      </w:r>
    </w:p>
    <w:p w14:paraId="3980C725"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Le règlement de fonctionnement ; </w:t>
      </w:r>
    </w:p>
    <w:p w14:paraId="1C64ABA3" w14:textId="04047B2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Le document individuel de prise en charge et le Projet Pour l’Enfant</w:t>
      </w:r>
      <w:r w:rsidR="004D549B">
        <w:rPr>
          <w:rFonts w:asciiTheme="minorHAnsi" w:hAnsiTheme="minorHAnsi" w:cs="Wingdings"/>
          <w:sz w:val="21"/>
          <w:szCs w:val="21"/>
        </w:rPr>
        <w:t xml:space="preserve"> (formalisés par l’opérateur)</w:t>
      </w:r>
      <w:r w:rsidRPr="00FD3924">
        <w:rPr>
          <w:rFonts w:asciiTheme="minorHAnsi" w:hAnsiTheme="minorHAnsi" w:cs="Wingdings"/>
          <w:sz w:val="21"/>
          <w:szCs w:val="21"/>
        </w:rPr>
        <w:t xml:space="preserve">; </w:t>
      </w:r>
    </w:p>
    <w:p w14:paraId="5D1953D8"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Le projet (ou l’avant-projet) du service ; </w:t>
      </w:r>
    </w:p>
    <w:p w14:paraId="2FB2782F"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Le candidat précisera les effectifs en nombre de personnels et d’équivalents temps plein (ETP). Le dossier de candidature comprendra : </w:t>
      </w:r>
    </w:p>
    <w:p w14:paraId="6CB9806F"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 xml:space="preserve">Un organigramme prévisionnel ; </w:t>
      </w:r>
    </w:p>
    <w:p w14:paraId="2381089A"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 xml:space="preserve">Le tableau des effectifs en ETP, par type de qualification et d’emploi ; </w:t>
      </w:r>
    </w:p>
    <w:p w14:paraId="2833D38A"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 xml:space="preserve">Les recrutements envisagés (des professionnels de formations et d’expériences variées sont à privilégier) ; </w:t>
      </w:r>
    </w:p>
    <w:p w14:paraId="67471592"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 xml:space="preserve">Les modalités d’organisation permettant la continuité de la prise en charge ; </w:t>
      </w:r>
    </w:p>
    <w:p w14:paraId="2D1363F9"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Un planning type de rencontres du mineur et de l’autorité parentale</w:t>
      </w:r>
      <w:r>
        <w:rPr>
          <w:rFonts w:asciiTheme="minorHAnsi" w:hAnsiTheme="minorHAnsi" w:cs="Wingdings"/>
          <w:sz w:val="21"/>
          <w:szCs w:val="21"/>
        </w:rPr>
        <w:t> ;</w:t>
      </w:r>
    </w:p>
    <w:p w14:paraId="5BEF0A71"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 xml:space="preserve">Le plan de formation continue en lien avec les spécificités du public cible ainsi que des prestations d’analyse de la pratique professionnelle envisagées ; </w:t>
      </w:r>
    </w:p>
    <w:p w14:paraId="7C7079B9"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 xml:space="preserve">La convention collective dont relèvera le personnel ; </w:t>
      </w:r>
    </w:p>
    <w:p w14:paraId="01FAA4E6" w14:textId="77777777" w:rsidR="00131AFD" w:rsidRPr="00FD3924" w:rsidRDefault="00131AFD" w:rsidP="004D549B">
      <w:pPr>
        <w:pStyle w:val="Default"/>
        <w:numPr>
          <w:ilvl w:val="0"/>
          <w:numId w:val="12"/>
        </w:numPr>
        <w:spacing w:line="276" w:lineRule="auto"/>
        <w:ind w:left="851" w:hanging="284"/>
        <w:jc w:val="both"/>
        <w:rPr>
          <w:rFonts w:asciiTheme="minorHAnsi" w:hAnsiTheme="minorHAnsi" w:cs="Wingdings"/>
          <w:sz w:val="21"/>
          <w:szCs w:val="21"/>
        </w:rPr>
      </w:pPr>
      <w:r w:rsidRPr="00FD3924">
        <w:rPr>
          <w:rFonts w:asciiTheme="minorHAnsi" w:hAnsiTheme="minorHAnsi" w:cs="Wingdings"/>
          <w:sz w:val="21"/>
          <w:szCs w:val="21"/>
        </w:rPr>
        <w:t xml:space="preserve">Les éventuels intervenants extérieurs et l’objet de leurs missions. </w:t>
      </w:r>
    </w:p>
    <w:p w14:paraId="0794B43F" w14:textId="77777777" w:rsidR="00131AFD" w:rsidRPr="00FD3924" w:rsidRDefault="00131AFD" w:rsidP="00131AFD">
      <w:pPr>
        <w:autoSpaceDE w:val="0"/>
        <w:autoSpaceDN w:val="0"/>
        <w:adjustRightInd w:val="0"/>
        <w:spacing w:before="0" w:line="276" w:lineRule="auto"/>
        <w:rPr>
          <w:rFonts w:cs="Wingdings"/>
          <w:color w:val="000000"/>
          <w:szCs w:val="21"/>
        </w:rPr>
      </w:pPr>
    </w:p>
    <w:p w14:paraId="6ED37A33" w14:textId="77777777" w:rsidR="00131AFD" w:rsidRPr="00FD3924" w:rsidRDefault="00131AFD" w:rsidP="00131AFD">
      <w:pPr>
        <w:pStyle w:val="Default"/>
        <w:spacing w:line="276" w:lineRule="auto"/>
        <w:jc w:val="both"/>
        <w:rPr>
          <w:rFonts w:asciiTheme="minorHAnsi" w:hAnsiTheme="minorHAnsi" w:cs="Wingdings"/>
          <w:sz w:val="21"/>
          <w:szCs w:val="21"/>
        </w:rPr>
      </w:pPr>
      <w:r w:rsidRPr="00FD3924">
        <w:rPr>
          <w:rFonts w:asciiTheme="minorHAnsi" w:hAnsiTheme="minorHAnsi" w:cs="Wingdings"/>
          <w:sz w:val="21"/>
          <w:szCs w:val="21"/>
        </w:rPr>
        <w:t xml:space="preserve">Un dossier financier sera joint à la présente candidature avec les éléments suivants : </w:t>
      </w:r>
    </w:p>
    <w:p w14:paraId="4203F8E5"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Un budget prévisionnel ; </w:t>
      </w:r>
    </w:p>
    <w:p w14:paraId="1B921D2F" w14:textId="77777777" w:rsidR="00131AFD" w:rsidRPr="00FD3924" w:rsidRDefault="00131AFD" w:rsidP="00131AFD">
      <w:pPr>
        <w:pStyle w:val="Default"/>
        <w:numPr>
          <w:ilvl w:val="0"/>
          <w:numId w:val="8"/>
        </w:numPr>
        <w:spacing w:line="276" w:lineRule="auto"/>
        <w:ind w:left="567"/>
        <w:jc w:val="both"/>
        <w:rPr>
          <w:rFonts w:asciiTheme="minorHAnsi" w:hAnsiTheme="minorHAnsi" w:cs="Wingdings"/>
          <w:sz w:val="21"/>
          <w:szCs w:val="21"/>
        </w:rPr>
      </w:pPr>
      <w:r w:rsidRPr="00FD3924">
        <w:rPr>
          <w:rFonts w:asciiTheme="minorHAnsi" w:hAnsiTheme="minorHAnsi" w:cs="Wingdings"/>
          <w:sz w:val="21"/>
          <w:szCs w:val="21"/>
        </w:rPr>
        <w:t xml:space="preserve">Un plan pluriannuel d’investissement, le cas échéant </w:t>
      </w:r>
    </w:p>
    <w:p w14:paraId="4F764779" w14:textId="77777777" w:rsidR="00131AFD" w:rsidRPr="00FD3924" w:rsidRDefault="00131AFD" w:rsidP="00131AFD">
      <w:pPr>
        <w:spacing w:before="0" w:line="276" w:lineRule="auto"/>
        <w:jc w:val="both"/>
        <w:rPr>
          <w:rFonts w:cs="Times New Roman"/>
          <w:szCs w:val="21"/>
        </w:rPr>
      </w:pPr>
    </w:p>
    <w:p w14:paraId="07A0DE07" w14:textId="77777777" w:rsidR="00131AFD" w:rsidRPr="00FD3924" w:rsidRDefault="00131AFD" w:rsidP="00131AFD">
      <w:pPr>
        <w:spacing w:before="0" w:line="276" w:lineRule="auto"/>
        <w:jc w:val="both"/>
        <w:rPr>
          <w:rFonts w:cs="Times New Roman"/>
          <w:szCs w:val="21"/>
        </w:rPr>
      </w:pPr>
    </w:p>
    <w:p w14:paraId="417269B1" w14:textId="77777777" w:rsidR="00131AFD" w:rsidRPr="00565F8E" w:rsidRDefault="00131AFD" w:rsidP="00131AFD">
      <w:pPr>
        <w:spacing w:before="0" w:line="276" w:lineRule="auto"/>
        <w:jc w:val="both"/>
        <w:rPr>
          <w:szCs w:val="21"/>
          <w:u w:val="single"/>
        </w:rPr>
      </w:pPr>
      <w:r w:rsidRPr="00565F8E">
        <w:rPr>
          <w:rFonts w:cs="Times New Roman"/>
          <w:szCs w:val="21"/>
        </w:rPr>
        <w:t>En application de l’article R. 313-3-1 alinéa 3 du CASF, les candidats à l’appel à projet sont autorisés à présenter des variantes aux exigences posées par le présent cahier des charges sous réserve de respecter les exigences minimales suivantes :</w:t>
      </w:r>
    </w:p>
    <w:p w14:paraId="5D4D7926" w14:textId="77777777" w:rsidR="00131AFD" w:rsidRPr="006B1EE7" w:rsidRDefault="00131AFD" w:rsidP="00131AFD">
      <w:pPr>
        <w:pStyle w:val="Default"/>
        <w:numPr>
          <w:ilvl w:val="0"/>
          <w:numId w:val="8"/>
        </w:numPr>
        <w:spacing w:line="276" w:lineRule="auto"/>
        <w:ind w:left="567"/>
        <w:jc w:val="both"/>
        <w:rPr>
          <w:rFonts w:asciiTheme="minorHAnsi" w:hAnsiTheme="minorHAnsi" w:cs="Wingdings"/>
          <w:sz w:val="21"/>
          <w:szCs w:val="21"/>
        </w:rPr>
      </w:pPr>
      <w:r w:rsidRPr="006B1EE7">
        <w:rPr>
          <w:rFonts w:asciiTheme="minorHAnsi" w:hAnsiTheme="minorHAnsi" w:cs="Wingdings"/>
          <w:sz w:val="21"/>
          <w:szCs w:val="21"/>
        </w:rPr>
        <w:t>Le public cible ;</w:t>
      </w:r>
    </w:p>
    <w:p w14:paraId="002D9C72" w14:textId="77777777" w:rsidR="00131AFD" w:rsidRPr="006B1EE7" w:rsidRDefault="00131AFD" w:rsidP="00131AFD">
      <w:pPr>
        <w:pStyle w:val="Default"/>
        <w:numPr>
          <w:ilvl w:val="0"/>
          <w:numId w:val="8"/>
        </w:numPr>
        <w:spacing w:line="276" w:lineRule="auto"/>
        <w:ind w:left="567"/>
        <w:jc w:val="both"/>
        <w:rPr>
          <w:rFonts w:asciiTheme="minorHAnsi" w:hAnsiTheme="minorHAnsi" w:cs="Wingdings"/>
          <w:sz w:val="21"/>
          <w:szCs w:val="21"/>
        </w:rPr>
      </w:pPr>
      <w:r w:rsidRPr="006B1EE7">
        <w:rPr>
          <w:rFonts w:asciiTheme="minorHAnsi" w:hAnsiTheme="minorHAnsi" w:cs="Wingdings"/>
          <w:sz w:val="21"/>
          <w:szCs w:val="21"/>
        </w:rPr>
        <w:t>La mise d’œuvre de mesures d’AEMO et d’AEMO-IH sur un même secteur ;</w:t>
      </w:r>
    </w:p>
    <w:p w14:paraId="70D77BA1" w14:textId="4B42F522" w:rsidR="00131AFD" w:rsidRPr="006B1EE7" w:rsidRDefault="00131AFD" w:rsidP="00131AFD">
      <w:pPr>
        <w:pStyle w:val="Default"/>
        <w:numPr>
          <w:ilvl w:val="0"/>
          <w:numId w:val="8"/>
        </w:numPr>
        <w:spacing w:line="276" w:lineRule="auto"/>
        <w:ind w:left="567"/>
        <w:jc w:val="both"/>
        <w:rPr>
          <w:rFonts w:asciiTheme="minorHAnsi" w:hAnsiTheme="minorHAnsi" w:cs="Wingdings"/>
          <w:sz w:val="21"/>
          <w:szCs w:val="21"/>
        </w:rPr>
      </w:pPr>
      <w:r w:rsidRPr="006B1EE7">
        <w:rPr>
          <w:rFonts w:asciiTheme="minorHAnsi" w:hAnsiTheme="minorHAnsi" w:cs="Wingdings"/>
          <w:sz w:val="21"/>
          <w:szCs w:val="21"/>
        </w:rPr>
        <w:t>L’assurance d’une continuité de parcours par l’accompagnement d’un même professionnel quel</w:t>
      </w:r>
      <w:r w:rsidR="000C5CC3">
        <w:rPr>
          <w:rFonts w:asciiTheme="minorHAnsi" w:hAnsiTheme="minorHAnsi" w:cs="Wingdings"/>
          <w:sz w:val="21"/>
          <w:szCs w:val="21"/>
        </w:rPr>
        <w:t>le</w:t>
      </w:r>
      <w:r w:rsidRPr="006B1EE7">
        <w:rPr>
          <w:rFonts w:asciiTheme="minorHAnsi" w:hAnsiTheme="minorHAnsi" w:cs="Wingdings"/>
          <w:sz w:val="21"/>
          <w:szCs w:val="21"/>
        </w:rPr>
        <w:t xml:space="preserve"> que soit l’évolution de la mesure ;</w:t>
      </w:r>
    </w:p>
    <w:p w14:paraId="15AED4DD" w14:textId="77777777" w:rsidR="00131AFD" w:rsidRPr="006B1EE7" w:rsidRDefault="00131AFD" w:rsidP="00131AFD">
      <w:pPr>
        <w:pStyle w:val="Default"/>
        <w:numPr>
          <w:ilvl w:val="0"/>
          <w:numId w:val="8"/>
        </w:numPr>
        <w:spacing w:line="276" w:lineRule="auto"/>
        <w:ind w:left="567"/>
        <w:jc w:val="both"/>
        <w:rPr>
          <w:rFonts w:asciiTheme="minorHAnsi" w:hAnsiTheme="minorHAnsi" w:cs="Wingdings"/>
          <w:sz w:val="21"/>
          <w:szCs w:val="21"/>
        </w:rPr>
      </w:pPr>
      <w:r w:rsidRPr="006B1EE7">
        <w:rPr>
          <w:rFonts w:asciiTheme="minorHAnsi" w:hAnsiTheme="minorHAnsi" w:cs="Wingdings"/>
          <w:sz w:val="21"/>
          <w:szCs w:val="21"/>
        </w:rPr>
        <w:t>La mise à disposition d’un hébergement pour les périodes nécessaires ;</w:t>
      </w:r>
    </w:p>
    <w:p w14:paraId="6F28F06F" w14:textId="77777777" w:rsidR="00131AFD" w:rsidRPr="006B1EE7" w:rsidRDefault="00131AFD" w:rsidP="00131AFD">
      <w:pPr>
        <w:pStyle w:val="Default"/>
        <w:numPr>
          <w:ilvl w:val="0"/>
          <w:numId w:val="8"/>
        </w:numPr>
        <w:spacing w:line="276" w:lineRule="auto"/>
        <w:ind w:left="567"/>
        <w:jc w:val="both"/>
        <w:rPr>
          <w:rFonts w:asciiTheme="minorHAnsi" w:hAnsiTheme="minorHAnsi" w:cs="Wingdings"/>
          <w:sz w:val="21"/>
          <w:szCs w:val="21"/>
        </w:rPr>
      </w:pPr>
      <w:r w:rsidRPr="006B1EE7">
        <w:rPr>
          <w:rFonts w:asciiTheme="minorHAnsi" w:hAnsiTheme="minorHAnsi" w:cs="Wingdings"/>
          <w:sz w:val="21"/>
          <w:szCs w:val="21"/>
        </w:rPr>
        <w:t xml:space="preserve">Un système d’astreinte ; </w:t>
      </w:r>
    </w:p>
    <w:p w14:paraId="109CBD7A" w14:textId="77777777" w:rsidR="00131AFD" w:rsidRPr="006B1EE7" w:rsidRDefault="00131AFD" w:rsidP="00131AFD">
      <w:pPr>
        <w:pStyle w:val="Default"/>
        <w:numPr>
          <w:ilvl w:val="0"/>
          <w:numId w:val="8"/>
        </w:numPr>
        <w:spacing w:line="276" w:lineRule="auto"/>
        <w:ind w:left="567"/>
        <w:jc w:val="both"/>
        <w:rPr>
          <w:rFonts w:asciiTheme="minorHAnsi" w:hAnsiTheme="minorHAnsi" w:cs="Wingdings"/>
          <w:sz w:val="21"/>
          <w:szCs w:val="21"/>
        </w:rPr>
      </w:pPr>
      <w:r w:rsidRPr="006B1EE7">
        <w:rPr>
          <w:rFonts w:asciiTheme="minorHAnsi" w:hAnsiTheme="minorHAnsi" w:cs="Wingdings"/>
          <w:sz w:val="21"/>
          <w:szCs w:val="21"/>
        </w:rPr>
        <w:t xml:space="preserve">Une dimension de travail en partenariat ; </w:t>
      </w:r>
    </w:p>
    <w:p w14:paraId="681D9B34" w14:textId="00F7E812" w:rsidR="00131AFD" w:rsidRPr="006B1EE7" w:rsidRDefault="00131AFD" w:rsidP="00131AFD">
      <w:pPr>
        <w:pStyle w:val="Default"/>
        <w:numPr>
          <w:ilvl w:val="0"/>
          <w:numId w:val="8"/>
        </w:numPr>
        <w:spacing w:line="276" w:lineRule="auto"/>
        <w:ind w:left="567"/>
        <w:jc w:val="both"/>
        <w:rPr>
          <w:rFonts w:asciiTheme="minorHAnsi" w:hAnsiTheme="minorHAnsi" w:cs="Wingdings"/>
          <w:sz w:val="21"/>
          <w:szCs w:val="21"/>
        </w:rPr>
      </w:pPr>
      <w:r w:rsidRPr="006B1EE7">
        <w:rPr>
          <w:rFonts w:asciiTheme="minorHAnsi" w:hAnsiTheme="minorHAnsi" w:cs="Wingdings"/>
          <w:sz w:val="21"/>
          <w:szCs w:val="21"/>
        </w:rPr>
        <w:t>Une implantation géographique des locaux</w:t>
      </w:r>
      <w:r w:rsidR="000C5CC3">
        <w:rPr>
          <w:rFonts w:asciiTheme="minorHAnsi" w:hAnsiTheme="minorHAnsi" w:cs="Wingdings"/>
          <w:sz w:val="21"/>
          <w:szCs w:val="21"/>
        </w:rPr>
        <w:t xml:space="preserve"> sur le territoire du pôle départemental des solidarités,</w:t>
      </w:r>
      <w:r w:rsidRPr="006B1EE7">
        <w:rPr>
          <w:rFonts w:asciiTheme="minorHAnsi" w:hAnsiTheme="minorHAnsi" w:cs="Wingdings"/>
          <w:sz w:val="21"/>
          <w:szCs w:val="21"/>
        </w:rPr>
        <w:t xml:space="preserve"> permettant des déplacements dans un périmètre géographique restreint</w:t>
      </w:r>
      <w:r w:rsidR="006E4CCB">
        <w:rPr>
          <w:rFonts w:asciiTheme="minorHAnsi" w:hAnsiTheme="minorHAnsi" w:cs="Wingdings"/>
          <w:sz w:val="21"/>
          <w:szCs w:val="21"/>
        </w:rPr>
        <w:t xml:space="preserve"> et un accès au service facilité pour les familles</w:t>
      </w:r>
      <w:r w:rsidRPr="006B1EE7">
        <w:rPr>
          <w:rFonts w:asciiTheme="minorHAnsi" w:hAnsiTheme="minorHAnsi" w:cs="Wingdings"/>
          <w:sz w:val="21"/>
          <w:szCs w:val="21"/>
        </w:rPr>
        <w:t>.</w:t>
      </w:r>
    </w:p>
    <w:p w14:paraId="6CAD11A4" w14:textId="25E9D342" w:rsidR="00131AFD" w:rsidRDefault="00131AFD" w:rsidP="00D853BD">
      <w:pPr>
        <w:spacing w:before="0" w:line="276" w:lineRule="auto"/>
        <w:jc w:val="both"/>
        <w:rPr>
          <w:szCs w:val="21"/>
        </w:rPr>
      </w:pPr>
    </w:p>
    <w:p w14:paraId="165A505D" w14:textId="77777777" w:rsidR="00131AFD" w:rsidRDefault="00131AFD" w:rsidP="00D853BD">
      <w:pPr>
        <w:spacing w:before="0" w:line="276" w:lineRule="auto"/>
        <w:jc w:val="both"/>
        <w:rPr>
          <w:szCs w:val="21"/>
        </w:rPr>
      </w:pPr>
    </w:p>
    <w:p w14:paraId="7F97F5D2" w14:textId="3ABA7060" w:rsidR="00131AFD" w:rsidRPr="00131AFD" w:rsidRDefault="00131AFD" w:rsidP="00131AFD">
      <w:pPr>
        <w:pStyle w:val="Titre2"/>
        <w:spacing w:before="0" w:after="0" w:line="276" w:lineRule="auto"/>
      </w:pPr>
      <w:bookmarkStart w:id="10" w:name="_Toc206059860"/>
      <w:r>
        <w:t>2/ Modalités d’instruction</w:t>
      </w:r>
      <w:r w:rsidRPr="00131AFD">
        <w:t> :</w:t>
      </w:r>
      <w:bookmarkEnd w:id="10"/>
    </w:p>
    <w:p w14:paraId="3E968815" w14:textId="4BE4C56A" w:rsidR="0011511A" w:rsidRPr="00806658" w:rsidRDefault="0011511A" w:rsidP="00D853BD">
      <w:pPr>
        <w:spacing w:before="0" w:line="276" w:lineRule="auto"/>
        <w:jc w:val="both"/>
        <w:rPr>
          <w:szCs w:val="21"/>
        </w:rPr>
      </w:pPr>
      <w:r w:rsidRPr="00806658">
        <w:rPr>
          <w:szCs w:val="21"/>
        </w:rPr>
        <w:t>L’ouverture des dossiers de candidature se déroulera à l’expiration du délai de réception des réponses</w:t>
      </w:r>
      <w:r w:rsidR="00342D45" w:rsidRPr="00806658">
        <w:rPr>
          <w:szCs w:val="21"/>
        </w:rPr>
        <w:t xml:space="preserve">, </w:t>
      </w:r>
      <w:r w:rsidR="00342D45" w:rsidRPr="00B25358">
        <w:rPr>
          <w:szCs w:val="21"/>
        </w:rPr>
        <w:t>soit 6</w:t>
      </w:r>
      <w:r w:rsidR="004237E8" w:rsidRPr="00B25358">
        <w:rPr>
          <w:szCs w:val="21"/>
        </w:rPr>
        <w:t>0 jours</w:t>
      </w:r>
      <w:r w:rsidRPr="00B25358">
        <w:rPr>
          <w:szCs w:val="21"/>
        </w:rPr>
        <w:t>.</w:t>
      </w:r>
      <w:r w:rsidRPr="00806658">
        <w:rPr>
          <w:szCs w:val="21"/>
        </w:rPr>
        <w:t xml:space="preserve"> Les dossiers parvenus à la collectivité après la date limite de dépôt ne seront pas recevables, et ne seront donc pas examinés. </w:t>
      </w:r>
    </w:p>
    <w:p w14:paraId="102042FF" w14:textId="77777777" w:rsidR="00806658" w:rsidRPr="00806658" w:rsidRDefault="00806658" w:rsidP="00D853BD">
      <w:pPr>
        <w:spacing w:before="0" w:line="276" w:lineRule="auto"/>
        <w:jc w:val="both"/>
        <w:rPr>
          <w:szCs w:val="21"/>
        </w:rPr>
      </w:pPr>
    </w:p>
    <w:p w14:paraId="2FEF6DC3" w14:textId="53048E59" w:rsidR="0011511A" w:rsidRPr="00806658" w:rsidRDefault="0011511A" w:rsidP="00D853BD">
      <w:pPr>
        <w:spacing w:before="0" w:line="276" w:lineRule="auto"/>
        <w:jc w:val="both"/>
        <w:rPr>
          <w:szCs w:val="21"/>
        </w:rPr>
      </w:pPr>
      <w:r w:rsidRPr="00806658">
        <w:rPr>
          <w:szCs w:val="21"/>
        </w:rPr>
        <w:lastRenderedPageBreak/>
        <w:t>Les projets seront instruits, par les instructeurs désignés par le Département</w:t>
      </w:r>
      <w:r w:rsidR="00806658" w:rsidRPr="00806658">
        <w:rPr>
          <w:szCs w:val="21"/>
        </w:rPr>
        <w:t xml:space="preserve"> </w:t>
      </w:r>
      <w:r w:rsidR="00806658" w:rsidRPr="00B25358">
        <w:rPr>
          <w:szCs w:val="21"/>
        </w:rPr>
        <w:t xml:space="preserve">et </w:t>
      </w:r>
      <w:r w:rsidR="00DF2CB0">
        <w:rPr>
          <w:szCs w:val="21"/>
        </w:rPr>
        <w:t>le préfet</w:t>
      </w:r>
      <w:r w:rsidRPr="00806658">
        <w:rPr>
          <w:szCs w:val="21"/>
        </w:rPr>
        <w:t>, selon les étapes suivantes :</w:t>
      </w:r>
    </w:p>
    <w:p w14:paraId="0F52AD68" w14:textId="77777777" w:rsidR="0011511A" w:rsidRPr="00806658" w:rsidRDefault="0011511A" w:rsidP="00D853BD">
      <w:pPr>
        <w:pStyle w:val="Paragraphedeliste"/>
        <w:spacing w:after="0" w:line="276" w:lineRule="auto"/>
        <w:jc w:val="both"/>
        <w:rPr>
          <w:sz w:val="21"/>
          <w:szCs w:val="21"/>
        </w:rPr>
      </w:pPr>
    </w:p>
    <w:p w14:paraId="71D320E8" w14:textId="77777777" w:rsidR="0011511A" w:rsidRPr="00806658" w:rsidRDefault="0011511A" w:rsidP="00D853BD">
      <w:pPr>
        <w:pStyle w:val="Paragraphedeliste"/>
        <w:spacing w:after="0" w:line="276" w:lineRule="auto"/>
        <w:jc w:val="both"/>
        <w:rPr>
          <w:sz w:val="21"/>
          <w:szCs w:val="21"/>
        </w:rPr>
      </w:pPr>
      <w:r w:rsidRPr="00806658">
        <w:rPr>
          <w:sz w:val="21"/>
          <w:szCs w:val="21"/>
          <w:u w:val="single"/>
        </w:rPr>
        <w:t>1-La vérification de la régularité administrative des candidats par les instructeurs</w:t>
      </w:r>
      <w:r w:rsidRPr="00806658">
        <w:rPr>
          <w:sz w:val="21"/>
          <w:szCs w:val="21"/>
        </w:rPr>
        <w:t xml:space="preserve"> qui peuvent, le cas échéant, demander aux candidats de compléter les informations fournies en application du 1) de l’article R. 313-4-3 du CASF. Les échanges entre les instructeurs et le candidat ne portent que sur les éléments de candidature et non sur le projet en lui-même afin d’assurer l’égalité de traitement entre les candidats. </w:t>
      </w:r>
    </w:p>
    <w:p w14:paraId="4BA251FA" w14:textId="77777777" w:rsidR="0011511A" w:rsidRPr="00806658" w:rsidRDefault="0011511A" w:rsidP="00D853BD">
      <w:pPr>
        <w:pStyle w:val="Paragraphedeliste"/>
        <w:spacing w:after="0" w:line="276" w:lineRule="auto"/>
        <w:jc w:val="both"/>
        <w:rPr>
          <w:sz w:val="21"/>
          <w:szCs w:val="21"/>
        </w:rPr>
      </w:pPr>
    </w:p>
    <w:p w14:paraId="2D2FBAAA" w14:textId="77777777" w:rsidR="0011511A" w:rsidRPr="00806658" w:rsidRDefault="0011511A" w:rsidP="00D853BD">
      <w:pPr>
        <w:pStyle w:val="Paragraphedeliste"/>
        <w:spacing w:after="0" w:line="276" w:lineRule="auto"/>
        <w:jc w:val="both"/>
        <w:rPr>
          <w:sz w:val="21"/>
          <w:szCs w:val="21"/>
        </w:rPr>
      </w:pPr>
    </w:p>
    <w:p w14:paraId="1B18D33E" w14:textId="77777777" w:rsidR="0011511A" w:rsidRPr="00806658" w:rsidRDefault="0011511A" w:rsidP="00D853BD">
      <w:pPr>
        <w:pStyle w:val="Paragraphedeliste"/>
        <w:spacing w:after="0" w:line="276" w:lineRule="auto"/>
        <w:jc w:val="both"/>
        <w:rPr>
          <w:color w:val="FF0000"/>
          <w:sz w:val="21"/>
          <w:szCs w:val="21"/>
        </w:rPr>
      </w:pPr>
      <w:r w:rsidRPr="00806658">
        <w:rPr>
          <w:sz w:val="21"/>
          <w:szCs w:val="21"/>
          <w:u w:val="single"/>
        </w:rPr>
        <w:t>2- La vérification par les instructeurs du caractère complet des dossiers et de l’adéquation avec les besoins décrits dans le cahier des charges.</w:t>
      </w:r>
      <w:r w:rsidRPr="00806658">
        <w:rPr>
          <w:sz w:val="21"/>
          <w:szCs w:val="21"/>
        </w:rPr>
        <w:t xml:space="preserve"> Pour ce faire, le candidat devra impérativement veiller au respect du plan du cahier des charges.</w:t>
      </w:r>
    </w:p>
    <w:p w14:paraId="226CAFF1" w14:textId="77777777" w:rsidR="0011511A" w:rsidRPr="00806658" w:rsidRDefault="0011511A" w:rsidP="00D853BD">
      <w:pPr>
        <w:pStyle w:val="Paragraphedeliste"/>
        <w:spacing w:after="0" w:line="276" w:lineRule="auto"/>
        <w:jc w:val="both"/>
        <w:rPr>
          <w:color w:val="FF0000"/>
          <w:sz w:val="21"/>
          <w:szCs w:val="21"/>
        </w:rPr>
      </w:pPr>
    </w:p>
    <w:p w14:paraId="3EA66FCA" w14:textId="60C6513F" w:rsidR="0011511A" w:rsidRPr="00806658" w:rsidRDefault="0011511A" w:rsidP="00D853BD">
      <w:pPr>
        <w:pStyle w:val="Paragraphedeliste"/>
        <w:spacing w:after="0" w:line="276" w:lineRule="auto"/>
        <w:jc w:val="both"/>
        <w:rPr>
          <w:sz w:val="21"/>
          <w:szCs w:val="21"/>
        </w:rPr>
      </w:pPr>
      <w:r w:rsidRPr="00806658">
        <w:rPr>
          <w:sz w:val="21"/>
          <w:szCs w:val="21"/>
        </w:rPr>
        <w:t xml:space="preserve">3- </w:t>
      </w:r>
      <w:r w:rsidRPr="00806658">
        <w:rPr>
          <w:sz w:val="21"/>
          <w:szCs w:val="21"/>
          <w:u w:val="single"/>
        </w:rPr>
        <w:t xml:space="preserve">La vérification de l’éligibilité du projet </w:t>
      </w:r>
      <w:r w:rsidR="00490473" w:rsidRPr="00806658">
        <w:rPr>
          <w:sz w:val="21"/>
          <w:szCs w:val="21"/>
          <w:u w:val="single"/>
        </w:rPr>
        <w:t xml:space="preserve">au regard </w:t>
      </w:r>
      <w:r w:rsidRPr="00806658">
        <w:rPr>
          <w:sz w:val="21"/>
          <w:szCs w:val="21"/>
          <w:u w:val="single"/>
        </w:rPr>
        <w:t>des critères minimums spécifiés</w:t>
      </w:r>
      <w:r w:rsidRPr="00806658">
        <w:rPr>
          <w:sz w:val="21"/>
          <w:szCs w:val="21"/>
        </w:rPr>
        <w:t>. Ainsi, à ce stade, l’instruction des dossiers manifestement étrangers au cahier des charges annexé ne sera pas engagée</w:t>
      </w:r>
      <w:r w:rsidR="00131AFD">
        <w:rPr>
          <w:sz w:val="21"/>
          <w:szCs w:val="21"/>
        </w:rPr>
        <w:t>.</w:t>
      </w:r>
      <w:r w:rsidRPr="00806658">
        <w:rPr>
          <w:sz w:val="21"/>
          <w:szCs w:val="21"/>
        </w:rPr>
        <w:t xml:space="preserve"> </w:t>
      </w:r>
    </w:p>
    <w:p w14:paraId="121B7DEA" w14:textId="77777777" w:rsidR="0011511A" w:rsidRPr="00806658" w:rsidRDefault="0011511A" w:rsidP="00D853BD">
      <w:pPr>
        <w:pStyle w:val="Paragraphedeliste"/>
        <w:spacing w:after="0" w:line="276" w:lineRule="auto"/>
        <w:jc w:val="both"/>
        <w:rPr>
          <w:color w:val="FF0000"/>
          <w:sz w:val="21"/>
          <w:szCs w:val="21"/>
        </w:rPr>
      </w:pPr>
    </w:p>
    <w:p w14:paraId="43BA3234" w14:textId="77777777" w:rsidR="0011511A" w:rsidRPr="00806658" w:rsidRDefault="0011511A" w:rsidP="00D853BD">
      <w:pPr>
        <w:pStyle w:val="Paragraphedeliste"/>
        <w:spacing w:after="0" w:line="276" w:lineRule="auto"/>
        <w:jc w:val="both"/>
        <w:rPr>
          <w:sz w:val="21"/>
          <w:szCs w:val="21"/>
          <w:u w:val="single"/>
        </w:rPr>
      </w:pPr>
      <w:r w:rsidRPr="00806658">
        <w:rPr>
          <w:sz w:val="21"/>
          <w:szCs w:val="21"/>
          <w:u w:val="single"/>
        </w:rPr>
        <w:t>4- L’analyse au fond des projets en fonction des critères de sélection</w:t>
      </w:r>
    </w:p>
    <w:p w14:paraId="756EDE58" w14:textId="77777777" w:rsidR="0011511A" w:rsidRPr="00806658" w:rsidRDefault="0011511A" w:rsidP="00D853BD">
      <w:pPr>
        <w:pStyle w:val="Paragraphedeliste"/>
        <w:spacing w:after="0" w:line="276" w:lineRule="auto"/>
        <w:jc w:val="both"/>
        <w:rPr>
          <w:sz w:val="21"/>
          <w:szCs w:val="21"/>
        </w:rPr>
      </w:pPr>
      <w:r w:rsidRPr="00806658">
        <w:rPr>
          <w:sz w:val="21"/>
          <w:szCs w:val="21"/>
        </w:rPr>
        <w:t>Les instructeurs procèdent à l’analyse au fond des projets et établissent un compte-rendu d’instruction motivé sur chacun des projets présentés à la commission de sélection d’appel à projet. Ce rapport de synthèse, établi sur la même trame pour tous les candidats, doit être accessible aux membres de la commission d’information et de sélection d’appel à projet au plus tard 15 jours avant la réunion de ladite commission.</w:t>
      </w:r>
    </w:p>
    <w:p w14:paraId="3954BBCC" w14:textId="77777777" w:rsidR="0011511A" w:rsidRPr="00806658" w:rsidRDefault="0011511A" w:rsidP="00D853BD">
      <w:pPr>
        <w:pStyle w:val="Paragraphedeliste"/>
        <w:spacing w:after="0" w:line="276" w:lineRule="auto"/>
        <w:jc w:val="both"/>
        <w:rPr>
          <w:sz w:val="21"/>
          <w:szCs w:val="21"/>
        </w:rPr>
      </w:pPr>
    </w:p>
    <w:p w14:paraId="1AD2C95C" w14:textId="311CE744" w:rsidR="009B4C73" w:rsidRPr="004A2B83" w:rsidRDefault="0011511A" w:rsidP="00131AFD">
      <w:pPr>
        <w:pStyle w:val="Paragraphedeliste"/>
        <w:spacing w:after="0" w:line="276" w:lineRule="auto"/>
        <w:jc w:val="both"/>
        <w:rPr>
          <w:sz w:val="21"/>
          <w:szCs w:val="21"/>
        </w:rPr>
      </w:pPr>
      <w:r w:rsidRPr="00806658">
        <w:rPr>
          <w:color w:val="000000" w:themeColor="text1"/>
          <w:sz w:val="21"/>
          <w:szCs w:val="21"/>
        </w:rPr>
        <w:t>Conformé</w:t>
      </w:r>
      <w:r w:rsidR="00342D45" w:rsidRPr="00806658">
        <w:rPr>
          <w:color w:val="000000" w:themeColor="text1"/>
          <w:sz w:val="21"/>
          <w:szCs w:val="21"/>
        </w:rPr>
        <w:t>ment à l’article R. 313-4-1 alinéa 3</w:t>
      </w:r>
      <w:r w:rsidRPr="00806658">
        <w:rPr>
          <w:color w:val="000000" w:themeColor="text1"/>
          <w:sz w:val="21"/>
          <w:szCs w:val="21"/>
        </w:rPr>
        <w:t xml:space="preserve"> du CASF l’analyse des réponses se fera en fonction</w:t>
      </w:r>
      <w:r w:rsidR="009B4C73">
        <w:rPr>
          <w:color w:val="000000" w:themeColor="text1"/>
          <w:sz w:val="21"/>
          <w:szCs w:val="21"/>
        </w:rPr>
        <w:t xml:space="preserve"> </w:t>
      </w:r>
      <w:r w:rsidR="004A2B83">
        <w:rPr>
          <w:color w:val="000000" w:themeColor="text1"/>
          <w:sz w:val="21"/>
          <w:szCs w:val="21"/>
        </w:rPr>
        <w:t xml:space="preserve">des éléments suivants qui seront intégrés à une </w:t>
      </w:r>
      <w:r w:rsidR="006B1EE7" w:rsidRPr="006B1EE7">
        <w:rPr>
          <w:sz w:val="21"/>
          <w:szCs w:val="21"/>
        </w:rPr>
        <w:t xml:space="preserve">grille de notation </w:t>
      </w:r>
      <w:r w:rsidR="006B1EE7" w:rsidRPr="004A2B83">
        <w:rPr>
          <w:sz w:val="21"/>
          <w:szCs w:val="21"/>
        </w:rPr>
        <w:t>suivante :</w:t>
      </w:r>
    </w:p>
    <w:p w14:paraId="2555C086" w14:textId="24AD6F03" w:rsidR="008C1E84" w:rsidRPr="004A2B83" w:rsidRDefault="004A2B83" w:rsidP="004A2B83">
      <w:pPr>
        <w:pStyle w:val="Paragraphedeliste"/>
        <w:numPr>
          <w:ilvl w:val="0"/>
          <w:numId w:val="18"/>
        </w:numPr>
        <w:spacing w:line="276" w:lineRule="auto"/>
        <w:jc w:val="both"/>
        <w:rPr>
          <w:sz w:val="18"/>
          <w:szCs w:val="18"/>
        </w:rPr>
      </w:pPr>
      <w:r w:rsidRPr="004A2B83">
        <w:rPr>
          <w:sz w:val="18"/>
          <w:szCs w:val="18"/>
        </w:rPr>
        <w:t>Présentation générale du projet</w:t>
      </w:r>
    </w:p>
    <w:p w14:paraId="2C889092" w14:textId="10EB102F"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Forme du dossier déposé (respect du contenu du dossier de candidature)</w:t>
      </w:r>
    </w:p>
    <w:p w14:paraId="24D8930C" w14:textId="6563729C"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Cohérence globale du projet avec les objectifs du cahier des charges</w:t>
      </w:r>
    </w:p>
    <w:p w14:paraId="3330AE1A" w14:textId="4BFFB695"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Clarté, structuration et personnalisation de la réponse (au-delà des rappels réglementaires)</w:t>
      </w:r>
    </w:p>
    <w:p w14:paraId="2C0C61D9" w14:textId="54AF879D"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Expérience du candidat : milieu ouvert, connaissance du public, connaissance du territoire…</w:t>
      </w:r>
    </w:p>
    <w:p w14:paraId="3AA88D6B" w14:textId="77777777" w:rsidR="004A2B83" w:rsidRPr="004A2B83" w:rsidRDefault="004A2B83" w:rsidP="004A2B83">
      <w:pPr>
        <w:pStyle w:val="Paragraphedeliste"/>
        <w:spacing w:line="276" w:lineRule="auto"/>
        <w:ind w:left="1068"/>
        <w:jc w:val="both"/>
        <w:rPr>
          <w:sz w:val="18"/>
          <w:szCs w:val="18"/>
        </w:rPr>
      </w:pPr>
    </w:p>
    <w:p w14:paraId="37D8FB37" w14:textId="48F3B2EC" w:rsidR="004A2B83" w:rsidRDefault="004A2B83" w:rsidP="004A2B83">
      <w:pPr>
        <w:pStyle w:val="Paragraphedeliste"/>
        <w:numPr>
          <w:ilvl w:val="0"/>
          <w:numId w:val="18"/>
        </w:numPr>
        <w:spacing w:line="276" w:lineRule="auto"/>
        <w:jc w:val="both"/>
        <w:rPr>
          <w:sz w:val="18"/>
          <w:szCs w:val="18"/>
        </w:rPr>
      </w:pPr>
      <w:r w:rsidRPr="004A2B83">
        <w:rPr>
          <w:sz w:val="18"/>
          <w:szCs w:val="18"/>
        </w:rPr>
        <w:t>Modalités d’accompagnement</w:t>
      </w:r>
    </w:p>
    <w:p w14:paraId="4823DCED" w14:textId="13807386"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Description détaillée des prises en charge selon les mesures (AEMO et AEMO-IH)</w:t>
      </w:r>
    </w:p>
    <w:p w14:paraId="41DCA3C3" w14:textId="72D83159"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Organisation des interventions (planification, continuité</w:t>
      </w:r>
      <w:r w:rsidRPr="004A2B83">
        <w:rPr>
          <w:sz w:val="18"/>
          <w:szCs w:val="18"/>
        </w:rPr>
        <w:t>…)</w:t>
      </w:r>
    </w:p>
    <w:p w14:paraId="6AEA1EF6" w14:textId="3AC8FEEA"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Type d'actions collectives proposées, outils et modalités organisationnelles (intervenants extérieurs, éco-</w:t>
      </w:r>
      <w:proofErr w:type="spellStart"/>
      <w:r w:rsidRPr="004A2B83">
        <w:rPr>
          <w:sz w:val="18"/>
          <w:szCs w:val="18"/>
        </w:rPr>
        <w:t>map</w:t>
      </w:r>
      <w:proofErr w:type="spellEnd"/>
      <w:r w:rsidRPr="004A2B83">
        <w:rPr>
          <w:sz w:val="18"/>
          <w:szCs w:val="18"/>
        </w:rPr>
        <w:t xml:space="preserve">, conférences familiales, </w:t>
      </w:r>
      <w:r w:rsidRPr="004A2B83">
        <w:rPr>
          <w:sz w:val="18"/>
          <w:szCs w:val="18"/>
        </w:rPr>
        <w:t>parrainages</w:t>
      </w:r>
      <w:r w:rsidRPr="004A2B83">
        <w:rPr>
          <w:sz w:val="18"/>
          <w:szCs w:val="18"/>
        </w:rPr>
        <w:t>, rencontres parents/</w:t>
      </w:r>
      <w:proofErr w:type="gramStart"/>
      <w:r w:rsidRPr="004A2B83">
        <w:rPr>
          <w:sz w:val="18"/>
          <w:szCs w:val="18"/>
        </w:rPr>
        <w:t>enfants,…</w:t>
      </w:r>
      <w:proofErr w:type="gramEnd"/>
      <w:r w:rsidRPr="004A2B83">
        <w:rPr>
          <w:sz w:val="18"/>
          <w:szCs w:val="18"/>
        </w:rPr>
        <w:t>)</w:t>
      </w:r>
    </w:p>
    <w:p w14:paraId="23B29157" w14:textId="79B8B9E7" w:rsidR="00E01850" w:rsidRDefault="00E01850" w:rsidP="004A2B83">
      <w:pPr>
        <w:pStyle w:val="Paragraphedeliste"/>
        <w:numPr>
          <w:ilvl w:val="0"/>
          <w:numId w:val="19"/>
        </w:numPr>
        <w:spacing w:line="276" w:lineRule="auto"/>
        <w:ind w:left="1418"/>
        <w:jc w:val="both"/>
        <w:rPr>
          <w:sz w:val="18"/>
          <w:szCs w:val="18"/>
        </w:rPr>
      </w:pPr>
      <w:r>
        <w:rPr>
          <w:sz w:val="18"/>
          <w:szCs w:val="18"/>
        </w:rPr>
        <w:t>Modalités envisagées pour rechercher, instaurer et maintenir la collaboration parentale</w:t>
      </w:r>
    </w:p>
    <w:p w14:paraId="53F14930" w14:textId="221F3EA2"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Soutien à la parentalité (approches, outils, méthodologies)</w:t>
      </w:r>
    </w:p>
    <w:p w14:paraId="59923813" w14:textId="42FC8646"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Mise en valeur des compétences parentales (approches, outils, méthodologies)</w:t>
      </w:r>
    </w:p>
    <w:p w14:paraId="6E67C916" w14:textId="400130A1"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Modalités prévues relatives à la recherche de tiers / personnes ressources dans l'environnement du jeune</w:t>
      </w:r>
    </w:p>
    <w:p w14:paraId="08B35E0B" w14:textId="08C9BB90"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t>Modalités prévues dans la gestion des crises, des urgences, des informations préoccupantes, des mises à l'abri en cas d'OPP</w:t>
      </w:r>
    </w:p>
    <w:p w14:paraId="3E2D3D9B" w14:textId="1A5D346F" w:rsidR="004A2B83" w:rsidRPr="004A2B83" w:rsidRDefault="004A2B83" w:rsidP="004A2B83">
      <w:pPr>
        <w:pStyle w:val="Paragraphedeliste"/>
        <w:numPr>
          <w:ilvl w:val="0"/>
          <w:numId w:val="19"/>
        </w:numPr>
        <w:spacing w:line="276" w:lineRule="auto"/>
        <w:ind w:left="1418"/>
        <w:jc w:val="both"/>
        <w:rPr>
          <w:sz w:val="18"/>
          <w:szCs w:val="18"/>
        </w:rPr>
      </w:pPr>
      <w:r w:rsidRPr="004A2B83">
        <w:rPr>
          <w:sz w:val="18"/>
          <w:szCs w:val="18"/>
        </w:rPr>
        <w:lastRenderedPageBreak/>
        <w:t xml:space="preserve">Modalités d'hébergement exceptionnel et d'hébergement périodique </w:t>
      </w:r>
    </w:p>
    <w:p w14:paraId="194F29EC" w14:textId="304AA43F" w:rsidR="004A2B83" w:rsidRDefault="004A2B83" w:rsidP="004A2B83">
      <w:pPr>
        <w:pStyle w:val="Paragraphedeliste"/>
        <w:numPr>
          <w:ilvl w:val="0"/>
          <w:numId w:val="19"/>
        </w:numPr>
        <w:spacing w:line="276" w:lineRule="auto"/>
        <w:ind w:left="1418"/>
        <w:jc w:val="both"/>
        <w:rPr>
          <w:sz w:val="18"/>
          <w:szCs w:val="18"/>
        </w:rPr>
      </w:pPr>
      <w:r w:rsidRPr="004A2B83">
        <w:rPr>
          <w:sz w:val="18"/>
          <w:szCs w:val="18"/>
        </w:rPr>
        <w:t>Actions en lien avec la fin de la prise en charge (</w:t>
      </w:r>
      <w:r w:rsidR="00AB662B">
        <w:rPr>
          <w:sz w:val="18"/>
          <w:szCs w:val="18"/>
        </w:rPr>
        <w:t xml:space="preserve">préparation à la sortie, </w:t>
      </w:r>
      <w:r w:rsidRPr="004A2B83">
        <w:rPr>
          <w:sz w:val="18"/>
          <w:szCs w:val="18"/>
        </w:rPr>
        <w:t>autonomie, préparation à la majorité)</w:t>
      </w:r>
    </w:p>
    <w:p w14:paraId="22D98DA0" w14:textId="77777777" w:rsidR="00AB662B" w:rsidRPr="004A2B83" w:rsidRDefault="00AB662B" w:rsidP="00AB662B">
      <w:pPr>
        <w:pStyle w:val="Paragraphedeliste"/>
        <w:spacing w:line="276" w:lineRule="auto"/>
        <w:ind w:left="1418"/>
        <w:jc w:val="both"/>
        <w:rPr>
          <w:sz w:val="18"/>
          <w:szCs w:val="18"/>
        </w:rPr>
      </w:pPr>
    </w:p>
    <w:p w14:paraId="67969F52" w14:textId="2EE28343" w:rsidR="004A2B83" w:rsidRDefault="004A2B83" w:rsidP="004A2B83">
      <w:pPr>
        <w:pStyle w:val="Paragraphedeliste"/>
        <w:numPr>
          <w:ilvl w:val="0"/>
          <w:numId w:val="18"/>
        </w:numPr>
        <w:spacing w:line="276" w:lineRule="auto"/>
        <w:jc w:val="both"/>
        <w:rPr>
          <w:sz w:val="18"/>
          <w:szCs w:val="18"/>
        </w:rPr>
      </w:pPr>
      <w:r w:rsidRPr="004A2B83">
        <w:rPr>
          <w:sz w:val="18"/>
          <w:szCs w:val="18"/>
        </w:rPr>
        <w:t>Coopérations et partenariats</w:t>
      </w:r>
    </w:p>
    <w:p w14:paraId="42D2691F" w14:textId="4A29C907"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Partenariats locaux existants et/ou envisagés (santé, éducation,</w:t>
      </w:r>
      <w:r>
        <w:rPr>
          <w:sz w:val="18"/>
          <w:szCs w:val="18"/>
        </w:rPr>
        <w:t xml:space="preserve"> </w:t>
      </w:r>
      <w:r w:rsidRPr="004A2B83">
        <w:rPr>
          <w:sz w:val="18"/>
          <w:szCs w:val="18"/>
        </w:rPr>
        <w:t>insertion, ...)</w:t>
      </w:r>
    </w:p>
    <w:p w14:paraId="074F4DEF" w14:textId="69B31C8E" w:rsidR="00AB662B" w:rsidRDefault="004A2B83" w:rsidP="00AB662B">
      <w:pPr>
        <w:pStyle w:val="Paragraphedeliste"/>
        <w:numPr>
          <w:ilvl w:val="0"/>
          <w:numId w:val="19"/>
        </w:numPr>
        <w:spacing w:line="276" w:lineRule="auto"/>
        <w:ind w:left="1418"/>
        <w:jc w:val="both"/>
        <w:rPr>
          <w:sz w:val="18"/>
          <w:szCs w:val="18"/>
        </w:rPr>
      </w:pPr>
      <w:r w:rsidRPr="004A2B83">
        <w:rPr>
          <w:sz w:val="18"/>
          <w:szCs w:val="18"/>
        </w:rPr>
        <w:t>Participation au travail en réseau et articulation avec les acteurs du territoire</w:t>
      </w:r>
    </w:p>
    <w:p w14:paraId="175B58D1" w14:textId="44DAC386" w:rsidR="00AB662B" w:rsidRDefault="00AB662B" w:rsidP="00AB662B">
      <w:pPr>
        <w:pStyle w:val="Paragraphedeliste"/>
        <w:spacing w:line="276" w:lineRule="auto"/>
        <w:ind w:left="1068"/>
        <w:jc w:val="both"/>
        <w:rPr>
          <w:sz w:val="18"/>
          <w:szCs w:val="18"/>
        </w:rPr>
      </w:pPr>
    </w:p>
    <w:p w14:paraId="7C8950AA" w14:textId="77777777" w:rsidR="00AB662B" w:rsidRDefault="00AB662B" w:rsidP="00AB662B">
      <w:pPr>
        <w:pStyle w:val="Paragraphedeliste"/>
        <w:numPr>
          <w:ilvl w:val="0"/>
          <w:numId w:val="18"/>
        </w:numPr>
        <w:spacing w:line="276" w:lineRule="auto"/>
        <w:jc w:val="both"/>
        <w:rPr>
          <w:sz w:val="18"/>
          <w:szCs w:val="18"/>
        </w:rPr>
      </w:pPr>
      <w:r w:rsidRPr="004A2B83">
        <w:rPr>
          <w:sz w:val="18"/>
          <w:szCs w:val="18"/>
        </w:rPr>
        <w:t xml:space="preserve">Respect des </w:t>
      </w:r>
      <w:r>
        <w:rPr>
          <w:sz w:val="18"/>
          <w:szCs w:val="18"/>
        </w:rPr>
        <w:t>exigences minimales</w:t>
      </w:r>
    </w:p>
    <w:p w14:paraId="3AE87FD8" w14:textId="77777777" w:rsidR="00AB662B" w:rsidRDefault="00AB662B" w:rsidP="00AB662B">
      <w:pPr>
        <w:pStyle w:val="Paragraphedeliste"/>
        <w:numPr>
          <w:ilvl w:val="0"/>
          <w:numId w:val="19"/>
        </w:numPr>
        <w:spacing w:line="276" w:lineRule="auto"/>
        <w:ind w:left="1418"/>
        <w:jc w:val="both"/>
        <w:rPr>
          <w:sz w:val="18"/>
          <w:szCs w:val="18"/>
        </w:rPr>
      </w:pPr>
      <w:r w:rsidRPr="004A2B83">
        <w:rPr>
          <w:sz w:val="18"/>
          <w:szCs w:val="18"/>
        </w:rPr>
        <w:t>Respect du public cible</w:t>
      </w:r>
    </w:p>
    <w:p w14:paraId="047D6581" w14:textId="4ECB254E" w:rsidR="00AB662B" w:rsidRDefault="00AB662B" w:rsidP="00AB662B">
      <w:pPr>
        <w:pStyle w:val="Paragraphedeliste"/>
        <w:numPr>
          <w:ilvl w:val="0"/>
          <w:numId w:val="19"/>
        </w:numPr>
        <w:spacing w:line="276" w:lineRule="auto"/>
        <w:ind w:left="1418"/>
        <w:jc w:val="both"/>
        <w:rPr>
          <w:sz w:val="18"/>
          <w:szCs w:val="18"/>
        </w:rPr>
      </w:pPr>
      <w:r w:rsidRPr="004A2B83">
        <w:rPr>
          <w:sz w:val="18"/>
          <w:szCs w:val="18"/>
        </w:rPr>
        <w:t>Respect de la couverture territoriale</w:t>
      </w:r>
      <w:r w:rsidR="00361808">
        <w:rPr>
          <w:sz w:val="18"/>
          <w:szCs w:val="18"/>
        </w:rPr>
        <w:t xml:space="preserve"> du lot en cas de pluri can</w:t>
      </w:r>
      <w:r>
        <w:rPr>
          <w:sz w:val="18"/>
          <w:szCs w:val="18"/>
        </w:rPr>
        <w:t>didatures sur une partie du lot</w:t>
      </w:r>
    </w:p>
    <w:p w14:paraId="59ABA5C8" w14:textId="77777777" w:rsidR="00AB662B" w:rsidRDefault="00AB662B" w:rsidP="00AB662B">
      <w:pPr>
        <w:pStyle w:val="Paragraphedeliste"/>
        <w:numPr>
          <w:ilvl w:val="0"/>
          <w:numId w:val="19"/>
        </w:numPr>
        <w:spacing w:line="276" w:lineRule="auto"/>
        <w:ind w:left="1418"/>
        <w:jc w:val="both"/>
        <w:rPr>
          <w:sz w:val="18"/>
          <w:szCs w:val="18"/>
        </w:rPr>
      </w:pPr>
      <w:r w:rsidRPr="004A2B83">
        <w:rPr>
          <w:sz w:val="18"/>
          <w:szCs w:val="18"/>
        </w:rPr>
        <w:t>Garantie de continuité de parcours avec un professionnel référent pour une mesure</w:t>
      </w:r>
    </w:p>
    <w:p w14:paraId="2903D208" w14:textId="77777777" w:rsidR="00AB662B" w:rsidRDefault="00AB662B" w:rsidP="00AB662B">
      <w:pPr>
        <w:pStyle w:val="Paragraphedeliste"/>
        <w:numPr>
          <w:ilvl w:val="0"/>
          <w:numId w:val="19"/>
        </w:numPr>
        <w:spacing w:line="276" w:lineRule="auto"/>
        <w:ind w:left="1418"/>
        <w:jc w:val="both"/>
        <w:rPr>
          <w:sz w:val="18"/>
          <w:szCs w:val="18"/>
        </w:rPr>
      </w:pPr>
      <w:r w:rsidRPr="004A2B83">
        <w:rPr>
          <w:sz w:val="18"/>
          <w:szCs w:val="18"/>
        </w:rPr>
        <w:t>Système d’astreinte opérationnel</w:t>
      </w:r>
    </w:p>
    <w:p w14:paraId="129D57B9" w14:textId="77777777" w:rsidR="00AB662B" w:rsidRDefault="00AB662B" w:rsidP="00AB662B">
      <w:pPr>
        <w:pStyle w:val="Paragraphedeliste"/>
        <w:numPr>
          <w:ilvl w:val="0"/>
          <w:numId w:val="19"/>
        </w:numPr>
        <w:spacing w:line="276" w:lineRule="auto"/>
        <w:ind w:left="1418"/>
        <w:jc w:val="both"/>
        <w:rPr>
          <w:sz w:val="18"/>
          <w:szCs w:val="18"/>
        </w:rPr>
      </w:pPr>
      <w:r>
        <w:rPr>
          <w:sz w:val="18"/>
          <w:szCs w:val="18"/>
        </w:rPr>
        <w:t>Travail en partenariat structuré</w:t>
      </w:r>
    </w:p>
    <w:p w14:paraId="393B0D61" w14:textId="77777777" w:rsidR="00AB662B" w:rsidRPr="00AB662B" w:rsidRDefault="00AB662B" w:rsidP="00AB662B">
      <w:pPr>
        <w:pStyle w:val="Paragraphedeliste"/>
        <w:numPr>
          <w:ilvl w:val="0"/>
          <w:numId w:val="19"/>
        </w:numPr>
        <w:spacing w:line="276" w:lineRule="auto"/>
        <w:ind w:left="1418"/>
        <w:jc w:val="both"/>
        <w:rPr>
          <w:sz w:val="18"/>
          <w:szCs w:val="18"/>
        </w:rPr>
      </w:pPr>
      <w:r w:rsidRPr="00AB662B">
        <w:rPr>
          <w:sz w:val="18"/>
          <w:szCs w:val="18"/>
        </w:rPr>
        <w:t>Implantation géographique des locaux optimisée afin de réduire les déplacements des professionnels</w:t>
      </w:r>
    </w:p>
    <w:p w14:paraId="4B6777D9" w14:textId="77777777" w:rsidR="00AB662B" w:rsidRPr="00AB662B" w:rsidRDefault="00AB662B" w:rsidP="00AB662B">
      <w:pPr>
        <w:pStyle w:val="Paragraphedeliste"/>
        <w:spacing w:line="276" w:lineRule="auto"/>
        <w:ind w:left="1068"/>
        <w:jc w:val="both"/>
        <w:rPr>
          <w:sz w:val="18"/>
          <w:szCs w:val="18"/>
        </w:rPr>
      </w:pPr>
    </w:p>
    <w:p w14:paraId="4F505335" w14:textId="7D6347F1" w:rsidR="004A2B83" w:rsidRDefault="004A2B83" w:rsidP="004A2B83">
      <w:pPr>
        <w:pStyle w:val="Paragraphedeliste"/>
        <w:numPr>
          <w:ilvl w:val="0"/>
          <w:numId w:val="18"/>
        </w:numPr>
        <w:spacing w:line="276" w:lineRule="auto"/>
        <w:jc w:val="both"/>
        <w:rPr>
          <w:sz w:val="18"/>
          <w:szCs w:val="18"/>
        </w:rPr>
      </w:pPr>
      <w:r w:rsidRPr="004A2B83">
        <w:rPr>
          <w:sz w:val="18"/>
          <w:szCs w:val="18"/>
        </w:rPr>
        <w:t>Garanties des droits des usagers et modalités de mise en place des outils de la loi 2002-2</w:t>
      </w:r>
    </w:p>
    <w:p w14:paraId="64CBE993" w14:textId="1A3F7934"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Présentation des documents obligatoires (livret d’accueil, règlement de fonctionnement, DIP, PPE)</w:t>
      </w:r>
    </w:p>
    <w:p w14:paraId="10197997" w14:textId="465BE090"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Place donnée à l’expression et à la participation du mineur et de sa famille</w:t>
      </w:r>
    </w:p>
    <w:p w14:paraId="4DC2D964" w14:textId="77777777" w:rsidR="00AB662B" w:rsidRPr="004A2B83" w:rsidRDefault="00AB662B" w:rsidP="004A2B83">
      <w:pPr>
        <w:pStyle w:val="Paragraphedeliste"/>
        <w:spacing w:line="276" w:lineRule="auto"/>
        <w:ind w:left="1068"/>
        <w:jc w:val="both"/>
        <w:rPr>
          <w:sz w:val="18"/>
          <w:szCs w:val="18"/>
        </w:rPr>
      </w:pPr>
    </w:p>
    <w:p w14:paraId="5B90E1EE" w14:textId="32D651CB" w:rsidR="004A2B83" w:rsidRDefault="004A2B83" w:rsidP="004A2B83">
      <w:pPr>
        <w:pStyle w:val="Paragraphedeliste"/>
        <w:numPr>
          <w:ilvl w:val="0"/>
          <w:numId w:val="18"/>
        </w:numPr>
        <w:spacing w:line="276" w:lineRule="auto"/>
        <w:jc w:val="both"/>
        <w:rPr>
          <w:sz w:val="18"/>
          <w:szCs w:val="18"/>
        </w:rPr>
      </w:pPr>
      <w:r w:rsidRPr="004A2B83">
        <w:rPr>
          <w:sz w:val="18"/>
          <w:szCs w:val="18"/>
        </w:rPr>
        <w:t>Organisation et ressources humaines</w:t>
      </w:r>
    </w:p>
    <w:p w14:paraId="630CA000" w14:textId="67DA4A33"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Organigramme prévisionnel et cohérence de la taille des équipes par rapport à la taille du lot</w:t>
      </w:r>
    </w:p>
    <w:p w14:paraId="3C5D7439" w14:textId="2E4F8C6B"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Effectifs par type de poste et en ETP</w:t>
      </w:r>
    </w:p>
    <w:p w14:paraId="3CCAB2B9" w14:textId="4B8266B2"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Variété des profils et des compétences professionnelles</w:t>
      </w:r>
    </w:p>
    <w:p w14:paraId="64AAA0DD" w14:textId="4F4A6F89"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 xml:space="preserve">Continuité de la prise en charge (gestion des absences, </w:t>
      </w:r>
      <w:r w:rsidR="00AB662B" w:rsidRPr="004A2B83">
        <w:rPr>
          <w:sz w:val="18"/>
          <w:szCs w:val="18"/>
        </w:rPr>
        <w:t>astreintes...</w:t>
      </w:r>
      <w:r w:rsidRPr="004A2B83">
        <w:rPr>
          <w:sz w:val="18"/>
          <w:szCs w:val="18"/>
        </w:rPr>
        <w:t>)</w:t>
      </w:r>
      <w:r w:rsidR="00E01850">
        <w:rPr>
          <w:sz w:val="18"/>
          <w:szCs w:val="18"/>
        </w:rPr>
        <w:t xml:space="preserve"> au sein de chaque lot ou parties de lots</w:t>
      </w:r>
    </w:p>
    <w:p w14:paraId="74424160" w14:textId="3BF13961" w:rsidR="00AB662B" w:rsidRPr="004A2B83" w:rsidRDefault="00AB662B" w:rsidP="00AB662B">
      <w:pPr>
        <w:pStyle w:val="Paragraphedeliste"/>
        <w:numPr>
          <w:ilvl w:val="0"/>
          <w:numId w:val="19"/>
        </w:numPr>
        <w:spacing w:line="276" w:lineRule="auto"/>
        <w:ind w:left="1418"/>
        <w:jc w:val="both"/>
        <w:rPr>
          <w:sz w:val="18"/>
          <w:szCs w:val="18"/>
        </w:rPr>
      </w:pPr>
      <w:r w:rsidRPr="004A2B83">
        <w:rPr>
          <w:sz w:val="18"/>
          <w:szCs w:val="18"/>
        </w:rPr>
        <w:t>Respect de la pondération une mesure = deux enfants maximum de la même fratrie</w:t>
      </w:r>
      <w:r>
        <w:rPr>
          <w:sz w:val="18"/>
          <w:szCs w:val="18"/>
        </w:rPr>
        <w:t xml:space="preserve"> dans l’attribution des mesures envisagée</w:t>
      </w:r>
    </w:p>
    <w:p w14:paraId="2B83B750" w14:textId="4FAC0D42"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Plan de formation continue et dispositif d’analyse de la pratique</w:t>
      </w:r>
    </w:p>
    <w:p w14:paraId="16858B34" w14:textId="77777777" w:rsidR="00AB662B" w:rsidRPr="004A2B83" w:rsidRDefault="00AB662B" w:rsidP="004A2B83">
      <w:pPr>
        <w:pStyle w:val="Paragraphedeliste"/>
        <w:spacing w:line="276" w:lineRule="auto"/>
        <w:ind w:left="1068"/>
        <w:jc w:val="both"/>
        <w:rPr>
          <w:sz w:val="18"/>
          <w:szCs w:val="18"/>
        </w:rPr>
      </w:pPr>
    </w:p>
    <w:p w14:paraId="26B76560" w14:textId="70951C2F" w:rsidR="004A2B83" w:rsidRDefault="004A2B83" w:rsidP="004A2B83">
      <w:pPr>
        <w:pStyle w:val="Paragraphedeliste"/>
        <w:numPr>
          <w:ilvl w:val="0"/>
          <w:numId w:val="18"/>
        </w:numPr>
        <w:spacing w:line="276" w:lineRule="auto"/>
        <w:jc w:val="both"/>
        <w:rPr>
          <w:sz w:val="18"/>
          <w:szCs w:val="18"/>
        </w:rPr>
      </w:pPr>
      <w:r w:rsidRPr="004A2B83">
        <w:rPr>
          <w:sz w:val="18"/>
          <w:szCs w:val="18"/>
        </w:rPr>
        <w:t>Dossier financier</w:t>
      </w:r>
    </w:p>
    <w:p w14:paraId="23672C6A" w14:textId="0691ED1B"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Budget prévisionnel réaliste et cohérent avec le projet présenté</w:t>
      </w:r>
    </w:p>
    <w:p w14:paraId="2741DF7B" w14:textId="7E68C046" w:rsidR="004A2B83" w:rsidRDefault="004A2B83" w:rsidP="00AB662B">
      <w:pPr>
        <w:pStyle w:val="Paragraphedeliste"/>
        <w:numPr>
          <w:ilvl w:val="0"/>
          <w:numId w:val="19"/>
        </w:numPr>
        <w:spacing w:line="276" w:lineRule="auto"/>
        <w:ind w:left="1418"/>
        <w:jc w:val="both"/>
        <w:rPr>
          <w:sz w:val="18"/>
          <w:szCs w:val="18"/>
        </w:rPr>
      </w:pPr>
      <w:r w:rsidRPr="004A2B83">
        <w:rPr>
          <w:sz w:val="18"/>
          <w:szCs w:val="18"/>
        </w:rPr>
        <w:t>Soutenabilité financière et gestion prévisionnelle</w:t>
      </w:r>
    </w:p>
    <w:p w14:paraId="13A540C9" w14:textId="77777777" w:rsidR="00AB662B" w:rsidRPr="004A2B83" w:rsidRDefault="00AB662B" w:rsidP="004A2B83">
      <w:pPr>
        <w:pStyle w:val="Paragraphedeliste"/>
        <w:spacing w:line="276" w:lineRule="auto"/>
        <w:ind w:left="1068"/>
        <w:jc w:val="both"/>
        <w:rPr>
          <w:sz w:val="18"/>
          <w:szCs w:val="18"/>
        </w:rPr>
      </w:pPr>
    </w:p>
    <w:p w14:paraId="1D0C1749" w14:textId="169EE276" w:rsidR="0011511A" w:rsidRPr="00565F8E" w:rsidRDefault="0011511A" w:rsidP="00D853BD">
      <w:pPr>
        <w:spacing w:before="0" w:line="276" w:lineRule="auto"/>
        <w:jc w:val="both"/>
        <w:rPr>
          <w:szCs w:val="21"/>
        </w:rPr>
      </w:pPr>
      <w:r w:rsidRPr="00565F8E">
        <w:rPr>
          <w:szCs w:val="21"/>
        </w:rPr>
        <w:t>Les projets sont examinés et classés par la commission d’information et de sélection d’appel à projets, dont la composition fait l’objet d’un arrêté</w:t>
      </w:r>
      <w:r w:rsidR="006F2359" w:rsidRPr="006F2359">
        <w:rPr>
          <w:szCs w:val="21"/>
        </w:rPr>
        <w:t xml:space="preserve"> </w:t>
      </w:r>
      <w:r w:rsidR="006F2359">
        <w:rPr>
          <w:szCs w:val="21"/>
        </w:rPr>
        <w:t>conjoint</w:t>
      </w:r>
      <w:r w:rsidRPr="00565F8E">
        <w:rPr>
          <w:szCs w:val="21"/>
        </w:rPr>
        <w:t xml:space="preserve"> de la Présidente du Conseil départemental de Maine-et-Loire</w:t>
      </w:r>
      <w:r w:rsidR="006F2359">
        <w:rPr>
          <w:szCs w:val="21"/>
        </w:rPr>
        <w:t xml:space="preserve"> et du Préfet de Maine-et-Loire</w:t>
      </w:r>
      <w:r w:rsidRPr="00565F8E">
        <w:rPr>
          <w:szCs w:val="21"/>
        </w:rPr>
        <w:t xml:space="preserve"> (Article R. 313-1 CASF).</w:t>
      </w:r>
    </w:p>
    <w:p w14:paraId="7FB3D5D6" w14:textId="77777777" w:rsidR="00B841DE" w:rsidRDefault="00B841DE" w:rsidP="00D853BD">
      <w:pPr>
        <w:spacing w:before="0" w:line="276" w:lineRule="auto"/>
        <w:jc w:val="both"/>
        <w:rPr>
          <w:szCs w:val="21"/>
        </w:rPr>
      </w:pPr>
    </w:p>
    <w:p w14:paraId="23610C05" w14:textId="1092268D" w:rsidR="00B841DE" w:rsidRDefault="0011511A" w:rsidP="00D853BD">
      <w:pPr>
        <w:spacing w:before="0" w:line="276" w:lineRule="auto"/>
        <w:jc w:val="both"/>
        <w:rPr>
          <w:szCs w:val="21"/>
        </w:rPr>
      </w:pPr>
      <w:bookmarkStart w:id="11" w:name="_Hlk210299704"/>
      <w:r w:rsidRPr="00565F8E">
        <w:rPr>
          <w:szCs w:val="21"/>
        </w:rPr>
        <w:t>L</w:t>
      </w:r>
      <w:r w:rsidR="00B841DE">
        <w:rPr>
          <w:szCs w:val="21"/>
        </w:rPr>
        <w:t>a Commission</w:t>
      </w:r>
      <w:r w:rsidR="00B653BE">
        <w:rPr>
          <w:szCs w:val="21"/>
        </w:rPr>
        <w:t xml:space="preserve"> de sélection des dossiers</w:t>
      </w:r>
      <w:r w:rsidR="00B841DE">
        <w:rPr>
          <w:szCs w:val="21"/>
        </w:rPr>
        <w:t xml:space="preserve"> se réunira </w:t>
      </w:r>
      <w:r w:rsidR="00B653BE">
        <w:rPr>
          <w:szCs w:val="21"/>
        </w:rPr>
        <w:t>le 22 janvier</w:t>
      </w:r>
      <w:r w:rsidR="00C27236">
        <w:rPr>
          <w:szCs w:val="21"/>
        </w:rPr>
        <w:t xml:space="preserve"> 2026</w:t>
      </w:r>
      <w:r w:rsidR="00B841DE">
        <w:rPr>
          <w:szCs w:val="21"/>
        </w:rPr>
        <w:t>.</w:t>
      </w:r>
    </w:p>
    <w:bookmarkEnd w:id="11"/>
    <w:p w14:paraId="73E615D8" w14:textId="368B91B1" w:rsidR="0011511A" w:rsidRPr="00565F8E" w:rsidRDefault="00B841DE" w:rsidP="00D853BD">
      <w:pPr>
        <w:spacing w:before="0" w:line="276" w:lineRule="auto"/>
        <w:jc w:val="both"/>
        <w:rPr>
          <w:szCs w:val="21"/>
        </w:rPr>
      </w:pPr>
      <w:r w:rsidRPr="00565F8E">
        <w:rPr>
          <w:szCs w:val="21"/>
        </w:rPr>
        <w:t xml:space="preserve"> </w:t>
      </w:r>
    </w:p>
    <w:p w14:paraId="5CE106DD" w14:textId="2C65887D" w:rsidR="0011511A" w:rsidRDefault="0011511A" w:rsidP="00D853BD">
      <w:pPr>
        <w:spacing w:before="0" w:line="276" w:lineRule="auto"/>
        <w:jc w:val="both"/>
        <w:rPr>
          <w:szCs w:val="21"/>
        </w:rPr>
      </w:pPr>
      <w:r w:rsidRPr="00565F8E">
        <w:rPr>
          <w:szCs w:val="21"/>
        </w:rPr>
        <w:t xml:space="preserve">Le classement tel qu’arrêté par la commission d’information et de sélection d’appel à projets sera publié sur le site internet du Département de Maine-et-Loire, affiché sur écran tactile au siège du Conseil départemental, 48 B boulevard Foch à Angers et mis en ligne sur son site internet </w:t>
      </w:r>
      <w:r w:rsidRPr="00565F8E">
        <w:rPr>
          <w:rFonts w:cs="Times New Roman"/>
          <w:szCs w:val="21"/>
        </w:rPr>
        <w:t>(</w:t>
      </w:r>
      <w:hyperlink r:id="rId13" w:history="1">
        <w:r w:rsidRPr="00565F8E">
          <w:rPr>
            <w:rStyle w:val="Lienhypertexte"/>
            <w:rFonts w:cs="Times New Roman"/>
            <w:szCs w:val="21"/>
          </w:rPr>
          <w:t>http://www.maine-et-loire.fr</w:t>
        </w:r>
      </w:hyperlink>
      <w:r w:rsidRPr="00565F8E">
        <w:rPr>
          <w:rStyle w:val="Lienhypertexte"/>
          <w:rFonts w:cs="Times New Roman"/>
          <w:szCs w:val="21"/>
        </w:rPr>
        <w:t xml:space="preserve">) </w:t>
      </w:r>
      <w:r w:rsidRPr="00565F8E">
        <w:rPr>
          <w:szCs w:val="21"/>
        </w:rPr>
        <w:t>sous la rubrique « appels à projets »</w:t>
      </w:r>
      <w:r w:rsidR="006F2359" w:rsidRPr="006F2359">
        <w:rPr>
          <w:szCs w:val="21"/>
        </w:rPr>
        <w:t xml:space="preserve"> </w:t>
      </w:r>
      <w:r w:rsidR="006F2359">
        <w:rPr>
          <w:szCs w:val="21"/>
        </w:rPr>
        <w:t>et au recueil des actes administratifs de la préfecture de Maine-et-Loire (</w:t>
      </w:r>
      <w:hyperlink r:id="rId14" w:history="1">
        <w:r w:rsidR="006F2359" w:rsidRPr="00F95DD1">
          <w:rPr>
            <w:rStyle w:val="Lienhypertexte"/>
            <w:szCs w:val="21"/>
          </w:rPr>
          <w:t>https://www.maine-et-loire.gouv.fr/Publications/Recueil-des-Actes-Administratifs</w:t>
        </w:r>
      </w:hyperlink>
      <w:r w:rsidR="006F2359">
        <w:rPr>
          <w:szCs w:val="21"/>
        </w:rPr>
        <w:t>)</w:t>
      </w:r>
      <w:r w:rsidRPr="00565F8E">
        <w:rPr>
          <w:szCs w:val="21"/>
        </w:rPr>
        <w:t>.</w:t>
      </w:r>
    </w:p>
    <w:p w14:paraId="4C40DE66" w14:textId="77777777" w:rsidR="00B841DE" w:rsidRPr="00565F8E" w:rsidRDefault="00B841DE" w:rsidP="00D853BD">
      <w:pPr>
        <w:spacing w:before="0" w:line="276" w:lineRule="auto"/>
        <w:jc w:val="both"/>
        <w:rPr>
          <w:szCs w:val="21"/>
        </w:rPr>
      </w:pPr>
    </w:p>
    <w:p w14:paraId="2B08CF9C" w14:textId="104C7B69" w:rsidR="0011511A" w:rsidRDefault="0011511A" w:rsidP="00D853BD">
      <w:pPr>
        <w:spacing w:before="0" w:line="276" w:lineRule="auto"/>
        <w:jc w:val="both"/>
        <w:rPr>
          <w:sz w:val="22"/>
          <w:szCs w:val="22"/>
        </w:rPr>
      </w:pPr>
    </w:p>
    <w:p w14:paraId="0E525730" w14:textId="4BE3DB77" w:rsidR="0011511A" w:rsidRPr="0011511A" w:rsidRDefault="0011511A" w:rsidP="00D853BD">
      <w:pPr>
        <w:pStyle w:val="Titre1"/>
        <w:spacing w:before="0" w:after="0" w:line="276" w:lineRule="auto"/>
        <w:jc w:val="both"/>
        <w:rPr>
          <w:sz w:val="40"/>
        </w:rPr>
      </w:pPr>
      <w:bookmarkStart w:id="12" w:name="_Toc206059861"/>
      <w:r>
        <w:rPr>
          <w:sz w:val="40"/>
        </w:rPr>
        <w:t>6</w:t>
      </w:r>
      <w:r w:rsidRPr="0011511A">
        <w:rPr>
          <w:sz w:val="40"/>
        </w:rPr>
        <w:t xml:space="preserve"> </w:t>
      </w:r>
      <w:r>
        <w:rPr>
          <w:sz w:val="40"/>
        </w:rPr>
        <w:t>–</w:t>
      </w:r>
      <w:r w:rsidRPr="0011511A">
        <w:rPr>
          <w:sz w:val="40"/>
        </w:rPr>
        <w:t xml:space="preserve"> </w:t>
      </w:r>
      <w:r>
        <w:rPr>
          <w:sz w:val="40"/>
        </w:rPr>
        <w:t>Modalités de consultation et de dépôt</w:t>
      </w:r>
      <w:bookmarkEnd w:id="12"/>
    </w:p>
    <w:p w14:paraId="1D4ED81C" w14:textId="7626277F" w:rsidR="0011511A" w:rsidRDefault="0011511A" w:rsidP="00D853BD">
      <w:pPr>
        <w:spacing w:before="0" w:line="276" w:lineRule="auto"/>
      </w:pPr>
    </w:p>
    <w:p w14:paraId="5B983F4E" w14:textId="61287393" w:rsidR="0011511A" w:rsidRDefault="0011511A" w:rsidP="00D853BD">
      <w:pPr>
        <w:pStyle w:val="Titre2"/>
        <w:spacing w:before="0" w:after="0" w:line="276" w:lineRule="auto"/>
      </w:pPr>
      <w:bookmarkStart w:id="13" w:name="_Toc206059862"/>
      <w:r>
        <w:t>1/ Modalités de consultation</w:t>
      </w:r>
      <w:bookmarkEnd w:id="13"/>
    </w:p>
    <w:p w14:paraId="1901DB33" w14:textId="01292482" w:rsidR="0011511A" w:rsidRPr="00B841DE" w:rsidRDefault="0011511A" w:rsidP="00D853BD">
      <w:pPr>
        <w:spacing w:before="0" w:line="276" w:lineRule="auto"/>
        <w:jc w:val="both"/>
        <w:rPr>
          <w:rFonts w:cs="Times New Roman"/>
          <w:szCs w:val="21"/>
        </w:rPr>
      </w:pPr>
      <w:r w:rsidRPr="00B841DE">
        <w:rPr>
          <w:rFonts w:cs="Times New Roman"/>
          <w:szCs w:val="21"/>
        </w:rPr>
        <w:t>Le présent avis d’appel à projet est affiché sur écran tactile au siège du Département de Maine-et-Loir</w:t>
      </w:r>
      <w:r w:rsidR="00C222E9" w:rsidRPr="00B841DE">
        <w:rPr>
          <w:rFonts w:cs="Times New Roman"/>
          <w:szCs w:val="21"/>
        </w:rPr>
        <w:t xml:space="preserve">e, 48 B boulevard Foch à Angers. </w:t>
      </w:r>
      <w:r w:rsidRPr="00B841DE">
        <w:rPr>
          <w:rFonts w:cs="Times New Roman"/>
          <w:szCs w:val="21"/>
        </w:rPr>
        <w:t>La date de publicité dudit avis d’appel à projet vaut ouverture de la période de dépôt des dossiers jusqu’à la clôture fixée au</w:t>
      </w:r>
      <w:r w:rsidR="006E04AA" w:rsidRPr="00B841DE">
        <w:rPr>
          <w:rFonts w:cs="Times New Roman"/>
          <w:szCs w:val="21"/>
        </w:rPr>
        <w:t> </w:t>
      </w:r>
      <w:r w:rsidR="00017BC8" w:rsidRPr="00017BC8">
        <w:rPr>
          <w:rFonts w:cs="Times New Roman"/>
          <w:b/>
          <w:szCs w:val="21"/>
        </w:rPr>
        <w:t>1</w:t>
      </w:r>
      <w:r w:rsidR="00AC361B">
        <w:rPr>
          <w:rFonts w:cs="Times New Roman"/>
          <w:b/>
          <w:szCs w:val="21"/>
        </w:rPr>
        <w:t>2</w:t>
      </w:r>
      <w:r w:rsidR="00C27236" w:rsidRPr="00017BC8">
        <w:rPr>
          <w:rFonts w:cs="Times New Roman"/>
          <w:b/>
          <w:szCs w:val="21"/>
        </w:rPr>
        <w:t xml:space="preserve"> décembre</w:t>
      </w:r>
      <w:r w:rsidR="006E04AA" w:rsidRPr="00017BC8">
        <w:rPr>
          <w:rFonts w:cs="Times New Roman"/>
          <w:b/>
          <w:szCs w:val="21"/>
        </w:rPr>
        <w:t xml:space="preserve"> 2025 à </w:t>
      </w:r>
      <w:r w:rsidR="00C67399" w:rsidRPr="00017BC8">
        <w:rPr>
          <w:rFonts w:cs="Times New Roman"/>
          <w:b/>
          <w:szCs w:val="21"/>
        </w:rPr>
        <w:t>1</w:t>
      </w:r>
      <w:r w:rsidR="00AC361B">
        <w:rPr>
          <w:rFonts w:cs="Times New Roman"/>
          <w:b/>
          <w:szCs w:val="21"/>
        </w:rPr>
        <w:t>6</w:t>
      </w:r>
      <w:r w:rsidR="00C67399" w:rsidRPr="00017BC8">
        <w:rPr>
          <w:rFonts w:cs="Times New Roman"/>
          <w:b/>
          <w:szCs w:val="21"/>
        </w:rPr>
        <w:t>h</w:t>
      </w:r>
      <w:r w:rsidR="00AC361B">
        <w:rPr>
          <w:rFonts w:cs="Times New Roman"/>
          <w:b/>
          <w:szCs w:val="21"/>
        </w:rPr>
        <w:t>3</w:t>
      </w:r>
      <w:r w:rsidR="00C67399" w:rsidRPr="00017BC8">
        <w:rPr>
          <w:rFonts w:cs="Times New Roman"/>
          <w:b/>
          <w:szCs w:val="21"/>
        </w:rPr>
        <w:t>0</w:t>
      </w:r>
      <w:r w:rsidRPr="00B841DE">
        <w:rPr>
          <w:rFonts w:cs="Times New Roman"/>
          <w:b/>
          <w:szCs w:val="21"/>
        </w:rPr>
        <w:t xml:space="preserve">. </w:t>
      </w:r>
      <w:r w:rsidRPr="00B841DE">
        <w:rPr>
          <w:rFonts w:cs="Times New Roman"/>
          <w:szCs w:val="21"/>
        </w:rPr>
        <w:t>Une information sera également diffusée dans la presse généraliste locale.</w:t>
      </w:r>
    </w:p>
    <w:p w14:paraId="7742F59D" w14:textId="068591D9" w:rsidR="0011511A" w:rsidRPr="00B841DE" w:rsidRDefault="0011511A" w:rsidP="00D853BD">
      <w:pPr>
        <w:spacing w:before="0" w:line="276" w:lineRule="auto"/>
        <w:jc w:val="both"/>
        <w:rPr>
          <w:rFonts w:cs="Times New Roman"/>
          <w:szCs w:val="21"/>
        </w:rPr>
      </w:pPr>
      <w:r w:rsidRPr="00B841DE">
        <w:rPr>
          <w:rFonts w:cs="Times New Roman"/>
          <w:szCs w:val="21"/>
        </w:rPr>
        <w:t>Ce document est consultable et téléchargeable sur le site internet du Département de Maine-et-Loire (</w:t>
      </w:r>
      <w:hyperlink r:id="rId15" w:history="1">
        <w:r w:rsidRPr="00B841DE">
          <w:rPr>
            <w:rStyle w:val="Lienhypertexte"/>
            <w:rFonts w:cs="Times New Roman"/>
            <w:szCs w:val="21"/>
          </w:rPr>
          <w:t>http://www.maine-et-loire.fr</w:t>
        </w:r>
      </w:hyperlink>
      <w:r w:rsidRPr="00B841DE">
        <w:rPr>
          <w:rFonts w:cs="Times New Roman"/>
          <w:szCs w:val="21"/>
        </w:rPr>
        <w:t>) et peut être remis dans un délai de huit jours aux personnes qui en font la demande par lettre recommandée avec avis d’accusé de réception (Article R. 313-4-2).</w:t>
      </w:r>
      <w:r w:rsidR="006F2359">
        <w:rPr>
          <w:rFonts w:cs="Times New Roman"/>
          <w:szCs w:val="21"/>
        </w:rPr>
        <w:t xml:space="preserve"> Il est également consultable</w:t>
      </w:r>
      <w:r w:rsidR="006F2359" w:rsidRPr="00CF26FE">
        <w:rPr>
          <w:rFonts w:cs="Times New Roman"/>
          <w:szCs w:val="21"/>
        </w:rPr>
        <w:t xml:space="preserve"> sur le site internet de la préfecture de Maine-et-Loire (https://www.maine-et-loire.gouv.fr/) sous la rubrique « appels à projets »</w:t>
      </w:r>
      <w:r w:rsidR="006F2359">
        <w:rPr>
          <w:rFonts w:cs="Times New Roman"/>
          <w:szCs w:val="21"/>
        </w:rPr>
        <w:t>.</w:t>
      </w:r>
    </w:p>
    <w:p w14:paraId="5ED57551" w14:textId="77777777" w:rsidR="0011511A" w:rsidRPr="00B841DE" w:rsidRDefault="0011511A" w:rsidP="00D853BD">
      <w:pPr>
        <w:spacing w:before="0" w:line="276" w:lineRule="auto"/>
        <w:ind w:left="708"/>
        <w:jc w:val="both"/>
        <w:rPr>
          <w:rFonts w:cs="Times New Roman"/>
          <w:szCs w:val="21"/>
        </w:rPr>
      </w:pPr>
    </w:p>
    <w:p w14:paraId="3E028E9A" w14:textId="0FCD24DC" w:rsidR="0011511A" w:rsidRDefault="0011511A" w:rsidP="00D853BD">
      <w:pPr>
        <w:spacing w:before="0" w:line="276" w:lineRule="auto"/>
        <w:jc w:val="both"/>
        <w:rPr>
          <w:rFonts w:cs="Times New Roman"/>
          <w:szCs w:val="21"/>
        </w:rPr>
      </w:pPr>
      <w:r w:rsidRPr="00B841DE">
        <w:rPr>
          <w:rFonts w:cs="Times New Roman"/>
          <w:szCs w:val="21"/>
        </w:rPr>
        <w:t>Le cahier des charges du présent appel à projet fait l’objet de l’annexe 1 du présent avis.</w:t>
      </w:r>
    </w:p>
    <w:p w14:paraId="03256C30" w14:textId="77777777" w:rsidR="0011511A" w:rsidRPr="00B841DE" w:rsidRDefault="0011511A" w:rsidP="00D853BD">
      <w:pPr>
        <w:spacing w:before="0" w:line="276" w:lineRule="auto"/>
        <w:jc w:val="both"/>
        <w:rPr>
          <w:rFonts w:cs="Times New Roman"/>
          <w:szCs w:val="21"/>
        </w:rPr>
      </w:pPr>
      <w:r w:rsidRPr="00B841DE">
        <w:rPr>
          <w:rFonts w:cs="Times New Roman"/>
          <w:szCs w:val="21"/>
        </w:rPr>
        <w:t>Les candidats peuvent solliciter des précisions complémentaires au plus tard huit jours avant l’expiration du délai de réponses auprès du Département de Maine-et-Loire :</w:t>
      </w:r>
    </w:p>
    <w:p w14:paraId="4DB4106E" w14:textId="406ECF8B" w:rsidR="0011511A" w:rsidRPr="008158FA" w:rsidRDefault="0011511A" w:rsidP="0080152D">
      <w:pPr>
        <w:pStyle w:val="Paragraphedeliste"/>
        <w:numPr>
          <w:ilvl w:val="0"/>
          <w:numId w:val="14"/>
        </w:numPr>
        <w:spacing w:line="276" w:lineRule="auto"/>
        <w:jc w:val="both"/>
        <w:rPr>
          <w:rFonts w:cs="Times New Roman"/>
          <w:b/>
          <w:sz w:val="21"/>
          <w:szCs w:val="21"/>
        </w:rPr>
      </w:pPr>
      <w:r w:rsidRPr="008158FA">
        <w:rPr>
          <w:rFonts w:cs="Times New Roman"/>
          <w:sz w:val="21"/>
          <w:szCs w:val="21"/>
        </w:rPr>
        <w:t xml:space="preserve">Soit par voie électronique en mentionnant en objet du courriel l’intitulé de l’appel à projet, à l’adresse suivante : </w:t>
      </w:r>
      <w:hyperlink r:id="rId16" w:history="1">
        <w:r w:rsidR="0080152D" w:rsidRPr="00356494">
          <w:rPr>
            <w:rStyle w:val="Lienhypertexte"/>
            <w:rFonts w:cs="Times New Roman"/>
            <w:sz w:val="21"/>
            <w:szCs w:val="21"/>
          </w:rPr>
          <w:t>appelsprojetsenfance@maine-et-loire.fr</w:t>
        </w:r>
      </w:hyperlink>
      <w:r w:rsidR="0080152D">
        <w:rPr>
          <w:rFonts w:cs="Times New Roman"/>
          <w:sz w:val="21"/>
          <w:szCs w:val="21"/>
        </w:rPr>
        <w:t> ;</w:t>
      </w:r>
    </w:p>
    <w:p w14:paraId="0FE71F23" w14:textId="6D50F44A" w:rsidR="0011511A" w:rsidRPr="008158FA" w:rsidRDefault="0011511A" w:rsidP="0080152D">
      <w:pPr>
        <w:pStyle w:val="Paragraphedeliste"/>
        <w:numPr>
          <w:ilvl w:val="0"/>
          <w:numId w:val="14"/>
        </w:numPr>
        <w:spacing w:line="276" w:lineRule="auto"/>
        <w:jc w:val="both"/>
        <w:rPr>
          <w:rFonts w:cs="Times New Roman"/>
          <w:sz w:val="21"/>
          <w:szCs w:val="21"/>
        </w:rPr>
      </w:pPr>
      <w:r w:rsidRPr="008158FA">
        <w:rPr>
          <w:rFonts w:cs="Times New Roman"/>
          <w:sz w:val="21"/>
          <w:szCs w:val="21"/>
        </w:rPr>
        <w:t>Soit par voie postale à l’adresse mentionnée ci-dessus avant l’expiration du délai de réception des réponses.</w:t>
      </w:r>
    </w:p>
    <w:p w14:paraId="30A23DA9" w14:textId="77777777" w:rsidR="0011511A" w:rsidRPr="00B841DE" w:rsidRDefault="0011511A" w:rsidP="00D853BD">
      <w:pPr>
        <w:spacing w:before="0" w:line="276" w:lineRule="auto"/>
        <w:ind w:left="708" w:firstLine="708"/>
        <w:jc w:val="both"/>
        <w:rPr>
          <w:rFonts w:cs="Times New Roman"/>
          <w:szCs w:val="21"/>
        </w:rPr>
      </w:pPr>
    </w:p>
    <w:p w14:paraId="5B243BDC" w14:textId="77777777" w:rsidR="0011511A" w:rsidRPr="00B841DE" w:rsidRDefault="0011511A" w:rsidP="00D853BD">
      <w:pPr>
        <w:spacing w:before="0" w:line="276" w:lineRule="auto"/>
        <w:jc w:val="both"/>
        <w:rPr>
          <w:rFonts w:cs="Times New Roman"/>
          <w:szCs w:val="21"/>
        </w:rPr>
      </w:pPr>
      <w:r w:rsidRPr="00B841DE">
        <w:rPr>
          <w:rFonts w:cs="Times New Roman"/>
          <w:szCs w:val="21"/>
        </w:rPr>
        <w:t xml:space="preserve">La Présidente du Département de Maine-et-Loire s’engage à faire connaître à l’ensemble des candidats connus les précisions à caractère général qu’il estime nécessaire d’apporter </w:t>
      </w:r>
      <w:r w:rsidRPr="00B841DE">
        <w:rPr>
          <w:rFonts w:cs="Times New Roman"/>
          <w:szCs w:val="21"/>
          <w:u w:val="single"/>
        </w:rPr>
        <w:t>au plus tard 5 jours</w:t>
      </w:r>
      <w:r w:rsidRPr="00B841DE">
        <w:rPr>
          <w:rFonts w:cs="Times New Roman"/>
          <w:szCs w:val="21"/>
        </w:rPr>
        <w:t xml:space="preserve"> avant la date limite de remise des réponses. Cette communication sera publiée sous la forme d’un écrit sur le site internet du Département (</w:t>
      </w:r>
      <w:hyperlink r:id="rId17" w:history="1">
        <w:r w:rsidRPr="00B841DE">
          <w:rPr>
            <w:rStyle w:val="Lienhypertexte"/>
            <w:rFonts w:cs="Times New Roman"/>
            <w:szCs w:val="21"/>
          </w:rPr>
          <w:t>http://www.maine-et-loire.fr</w:t>
        </w:r>
      </w:hyperlink>
      <w:r w:rsidRPr="00B841DE">
        <w:rPr>
          <w:rStyle w:val="Lienhypertexte"/>
          <w:rFonts w:cs="Times New Roman"/>
          <w:szCs w:val="21"/>
        </w:rPr>
        <w:t xml:space="preserve">) </w:t>
      </w:r>
      <w:r w:rsidRPr="00B841DE">
        <w:rPr>
          <w:rFonts w:cs="Times New Roman"/>
          <w:szCs w:val="21"/>
        </w:rPr>
        <w:t>rubrique « appel à projets » avec la dénomination suivante « appel à projets-précisions à caractère général ».</w:t>
      </w:r>
    </w:p>
    <w:p w14:paraId="4FDC74BB" w14:textId="65D47352" w:rsidR="00131AFD" w:rsidRDefault="00131AFD" w:rsidP="00D853BD">
      <w:pPr>
        <w:spacing w:before="0" w:line="276" w:lineRule="auto"/>
      </w:pPr>
    </w:p>
    <w:p w14:paraId="22590A53" w14:textId="77777777" w:rsidR="00131AFD" w:rsidRDefault="00131AFD" w:rsidP="00D853BD">
      <w:pPr>
        <w:spacing w:before="0" w:line="276" w:lineRule="auto"/>
      </w:pPr>
    </w:p>
    <w:p w14:paraId="1792C9F7" w14:textId="4127F28B" w:rsidR="0011511A" w:rsidRDefault="0011511A" w:rsidP="00D853BD">
      <w:pPr>
        <w:pStyle w:val="Titre2"/>
        <w:spacing w:before="0" w:after="0" w:line="276" w:lineRule="auto"/>
      </w:pPr>
      <w:bookmarkStart w:id="14" w:name="_Toc206059863"/>
      <w:r>
        <w:t>2/ Modalités de dépôt</w:t>
      </w:r>
      <w:bookmarkEnd w:id="14"/>
    </w:p>
    <w:p w14:paraId="4AD9CB3A" w14:textId="77777777" w:rsidR="0011511A" w:rsidRPr="00747029" w:rsidRDefault="0011511A" w:rsidP="00D853BD">
      <w:pPr>
        <w:spacing w:before="0" w:line="276" w:lineRule="auto"/>
        <w:jc w:val="both"/>
        <w:rPr>
          <w:szCs w:val="21"/>
        </w:rPr>
      </w:pPr>
      <w:r w:rsidRPr="00747029">
        <w:rPr>
          <w:szCs w:val="21"/>
        </w:rPr>
        <w:t>Chaque candidat devra adresser un dossier de candidature, en une seule fois, et en 3 exemplaires leur dossier complet de réponse selon les modalités suivantes :</w:t>
      </w:r>
    </w:p>
    <w:p w14:paraId="20564411" w14:textId="77777777" w:rsidR="0011511A" w:rsidRPr="00747029" w:rsidRDefault="0011511A" w:rsidP="0080152D">
      <w:pPr>
        <w:pStyle w:val="Paragraphedeliste"/>
        <w:numPr>
          <w:ilvl w:val="0"/>
          <w:numId w:val="16"/>
        </w:numPr>
        <w:spacing w:after="0" w:line="276" w:lineRule="auto"/>
        <w:jc w:val="both"/>
        <w:rPr>
          <w:sz w:val="21"/>
          <w:szCs w:val="21"/>
        </w:rPr>
      </w:pPr>
      <w:r w:rsidRPr="00747029">
        <w:rPr>
          <w:sz w:val="21"/>
          <w:szCs w:val="21"/>
        </w:rPr>
        <w:t xml:space="preserve">Deux exemplaires papiers </w:t>
      </w:r>
      <w:r w:rsidRPr="00747029">
        <w:rPr>
          <w:b/>
          <w:sz w:val="21"/>
          <w:szCs w:val="21"/>
        </w:rPr>
        <w:t>et</w:t>
      </w:r>
      <w:r w:rsidRPr="00747029">
        <w:rPr>
          <w:sz w:val="21"/>
          <w:szCs w:val="21"/>
        </w:rPr>
        <w:t xml:space="preserve">, </w:t>
      </w:r>
    </w:p>
    <w:p w14:paraId="738513FB" w14:textId="77777777" w:rsidR="00131AFD" w:rsidRDefault="0011511A" w:rsidP="0080152D">
      <w:pPr>
        <w:pStyle w:val="Paragraphedeliste"/>
        <w:numPr>
          <w:ilvl w:val="0"/>
          <w:numId w:val="16"/>
        </w:numPr>
        <w:spacing w:after="0" w:line="276" w:lineRule="auto"/>
        <w:jc w:val="both"/>
        <w:rPr>
          <w:sz w:val="21"/>
          <w:szCs w:val="21"/>
        </w:rPr>
      </w:pPr>
      <w:r w:rsidRPr="00747029">
        <w:rPr>
          <w:sz w:val="21"/>
          <w:szCs w:val="21"/>
        </w:rPr>
        <w:t>Un exemplaire enregistré sur support informatique (clé USB).</w:t>
      </w:r>
    </w:p>
    <w:p w14:paraId="37654556" w14:textId="7DC7C2B2" w:rsidR="0011511A" w:rsidRPr="00131AFD" w:rsidRDefault="0011511A" w:rsidP="0080152D">
      <w:pPr>
        <w:pStyle w:val="Paragraphedeliste"/>
        <w:numPr>
          <w:ilvl w:val="0"/>
          <w:numId w:val="16"/>
        </w:numPr>
        <w:spacing w:after="0" w:line="276" w:lineRule="auto"/>
        <w:jc w:val="both"/>
        <w:rPr>
          <w:sz w:val="21"/>
          <w:szCs w:val="21"/>
        </w:rPr>
      </w:pPr>
      <w:r w:rsidRPr="00131AFD">
        <w:rPr>
          <w:sz w:val="21"/>
          <w:szCs w:val="21"/>
        </w:rPr>
        <w:t>Le dossier est adressé par lettre recommandée avec accusé de réception ou par tout autre moyen permettant d’attester de la date certaine de réception du dossier, de l’intégrité des données et de la confidentialité des candidatures, à l’adresse suivante :</w:t>
      </w:r>
    </w:p>
    <w:p w14:paraId="4321C624" w14:textId="77777777" w:rsidR="0011511A" w:rsidRPr="00747029" w:rsidRDefault="0011511A" w:rsidP="00131AFD">
      <w:pPr>
        <w:spacing w:before="0" w:line="276" w:lineRule="auto"/>
        <w:ind w:left="709"/>
        <w:jc w:val="both"/>
        <w:rPr>
          <w:szCs w:val="21"/>
        </w:rPr>
      </w:pPr>
      <w:r w:rsidRPr="00747029">
        <w:rPr>
          <w:szCs w:val="21"/>
        </w:rPr>
        <w:t>Madame la Présidente du Conseil départemental de Maine-et-Loire</w:t>
      </w:r>
    </w:p>
    <w:p w14:paraId="01BB1B03" w14:textId="08498AA1" w:rsidR="0011511A" w:rsidRPr="00747029" w:rsidRDefault="0011511A" w:rsidP="00131AFD">
      <w:pPr>
        <w:spacing w:before="0" w:line="276" w:lineRule="auto"/>
        <w:ind w:left="709"/>
        <w:jc w:val="both"/>
        <w:rPr>
          <w:b/>
          <w:szCs w:val="21"/>
        </w:rPr>
      </w:pPr>
      <w:r w:rsidRPr="00747029">
        <w:rPr>
          <w:b/>
          <w:szCs w:val="21"/>
        </w:rPr>
        <w:t xml:space="preserve">Direction générale adjointe </w:t>
      </w:r>
      <w:r w:rsidR="00A34124" w:rsidRPr="00747029">
        <w:rPr>
          <w:b/>
          <w:szCs w:val="21"/>
        </w:rPr>
        <w:t>Parcours de Vie Solidaires (DGA PVS</w:t>
      </w:r>
      <w:r w:rsidRPr="00747029">
        <w:rPr>
          <w:b/>
          <w:szCs w:val="21"/>
        </w:rPr>
        <w:t xml:space="preserve">) </w:t>
      </w:r>
    </w:p>
    <w:p w14:paraId="020803F5" w14:textId="5E8D90FD" w:rsidR="0011511A" w:rsidRPr="00747029" w:rsidRDefault="0011511A" w:rsidP="00131AFD">
      <w:pPr>
        <w:spacing w:before="0" w:line="276" w:lineRule="auto"/>
        <w:ind w:left="709"/>
        <w:jc w:val="both"/>
        <w:rPr>
          <w:b/>
          <w:szCs w:val="21"/>
        </w:rPr>
      </w:pPr>
      <w:r w:rsidRPr="00747029">
        <w:rPr>
          <w:b/>
          <w:szCs w:val="21"/>
        </w:rPr>
        <w:t xml:space="preserve">Cité administrative </w:t>
      </w:r>
      <w:r w:rsidR="00B370A5" w:rsidRPr="00747029">
        <w:rPr>
          <w:b/>
          <w:szCs w:val="21"/>
        </w:rPr>
        <w:t>–</w:t>
      </w:r>
      <w:r w:rsidRPr="00747029">
        <w:rPr>
          <w:b/>
          <w:szCs w:val="21"/>
        </w:rPr>
        <w:t xml:space="preserve"> </w:t>
      </w:r>
      <w:r w:rsidR="00B370A5" w:rsidRPr="00747029">
        <w:rPr>
          <w:b/>
          <w:szCs w:val="21"/>
        </w:rPr>
        <w:t xml:space="preserve">Accueil du </w:t>
      </w:r>
      <w:r w:rsidRPr="00747029">
        <w:rPr>
          <w:b/>
          <w:szCs w:val="21"/>
        </w:rPr>
        <w:t>bâtiment L</w:t>
      </w:r>
    </w:p>
    <w:p w14:paraId="088C7486" w14:textId="74AA018F" w:rsidR="0011511A" w:rsidRPr="00747029" w:rsidRDefault="0011511A" w:rsidP="00131AFD">
      <w:pPr>
        <w:spacing w:before="0" w:line="276" w:lineRule="auto"/>
        <w:ind w:left="709"/>
        <w:jc w:val="both"/>
        <w:rPr>
          <w:b/>
          <w:szCs w:val="21"/>
        </w:rPr>
      </w:pPr>
      <w:r w:rsidRPr="00747029">
        <w:rPr>
          <w:b/>
          <w:szCs w:val="21"/>
        </w:rPr>
        <w:lastRenderedPageBreak/>
        <w:t xml:space="preserve">Direction </w:t>
      </w:r>
      <w:r w:rsidR="00491B7A">
        <w:rPr>
          <w:b/>
          <w:szCs w:val="21"/>
        </w:rPr>
        <w:t>Enfance Famille</w:t>
      </w:r>
    </w:p>
    <w:p w14:paraId="475FC0AC" w14:textId="266FB6A2" w:rsidR="0011511A" w:rsidRPr="00747029" w:rsidRDefault="0011511A" w:rsidP="00131AFD">
      <w:pPr>
        <w:spacing w:before="0" w:line="276" w:lineRule="auto"/>
        <w:ind w:left="709"/>
        <w:jc w:val="both"/>
        <w:rPr>
          <w:b/>
          <w:szCs w:val="21"/>
        </w:rPr>
      </w:pPr>
      <w:r w:rsidRPr="00747029">
        <w:rPr>
          <w:b/>
          <w:szCs w:val="21"/>
        </w:rPr>
        <w:t>Réponse appel à projet 202</w:t>
      </w:r>
      <w:r w:rsidR="00747029">
        <w:rPr>
          <w:b/>
          <w:szCs w:val="21"/>
        </w:rPr>
        <w:t>5 : Evolution du milieu ouvert judiciaire sur le département de Maine-et-Loire</w:t>
      </w:r>
    </w:p>
    <w:p w14:paraId="3F6F6BBB" w14:textId="77777777" w:rsidR="0011511A" w:rsidRPr="00747029" w:rsidRDefault="0011511A" w:rsidP="00131AFD">
      <w:pPr>
        <w:spacing w:before="0" w:line="276" w:lineRule="auto"/>
        <w:ind w:left="709"/>
        <w:jc w:val="both"/>
        <w:rPr>
          <w:b/>
          <w:szCs w:val="21"/>
        </w:rPr>
      </w:pPr>
      <w:r w:rsidRPr="00747029">
        <w:rPr>
          <w:b/>
          <w:szCs w:val="21"/>
        </w:rPr>
        <w:t xml:space="preserve">CS 94104 </w:t>
      </w:r>
    </w:p>
    <w:p w14:paraId="70B136ED" w14:textId="32687216" w:rsidR="0011511A" w:rsidRPr="00747029" w:rsidRDefault="0011511A" w:rsidP="00131AFD">
      <w:pPr>
        <w:spacing w:before="0" w:line="276" w:lineRule="auto"/>
        <w:ind w:left="709"/>
        <w:jc w:val="both"/>
        <w:rPr>
          <w:b/>
          <w:szCs w:val="21"/>
        </w:rPr>
      </w:pPr>
      <w:r w:rsidRPr="00747029">
        <w:rPr>
          <w:b/>
          <w:szCs w:val="21"/>
        </w:rPr>
        <w:t>49 941 Angers cedex 9</w:t>
      </w:r>
    </w:p>
    <w:p w14:paraId="6BED7FDE" w14:textId="77777777" w:rsidR="001E42E4" w:rsidRPr="00747029" w:rsidRDefault="001E42E4" w:rsidP="00D853BD">
      <w:pPr>
        <w:spacing w:before="0" w:line="276" w:lineRule="auto"/>
        <w:jc w:val="both"/>
        <w:rPr>
          <w:b/>
          <w:szCs w:val="21"/>
        </w:rPr>
      </w:pPr>
    </w:p>
    <w:p w14:paraId="59950D9E" w14:textId="4DBB6DDA" w:rsidR="0011511A" w:rsidRPr="00747029" w:rsidRDefault="0011511A" w:rsidP="00D853BD">
      <w:pPr>
        <w:spacing w:before="0" w:line="276" w:lineRule="auto"/>
        <w:jc w:val="both"/>
        <w:rPr>
          <w:szCs w:val="21"/>
        </w:rPr>
      </w:pPr>
      <w:r w:rsidRPr="00747029">
        <w:rPr>
          <w:szCs w:val="21"/>
        </w:rPr>
        <w:t>Les candidats qui souhaitent déposer leur dossier en main propre peuvent le faire</w:t>
      </w:r>
      <w:r w:rsidRPr="00747029">
        <w:rPr>
          <w:color w:val="FF0000"/>
          <w:szCs w:val="21"/>
        </w:rPr>
        <w:t xml:space="preserve"> </w:t>
      </w:r>
      <w:r w:rsidRPr="00747029">
        <w:rPr>
          <w:szCs w:val="21"/>
        </w:rPr>
        <w:t xml:space="preserve">contre récépissé à l’adresse susvisée </w:t>
      </w:r>
      <w:r w:rsidR="00B370A5" w:rsidRPr="00747029">
        <w:rPr>
          <w:szCs w:val="21"/>
        </w:rPr>
        <w:t>–</w:t>
      </w:r>
      <w:r w:rsidRPr="00747029">
        <w:rPr>
          <w:szCs w:val="21"/>
        </w:rPr>
        <w:t xml:space="preserve"> </w:t>
      </w:r>
      <w:r w:rsidR="00B370A5" w:rsidRPr="00747029">
        <w:rPr>
          <w:szCs w:val="21"/>
        </w:rPr>
        <w:t xml:space="preserve">accueil du bâtiment L- </w:t>
      </w:r>
      <w:r w:rsidRPr="00747029">
        <w:rPr>
          <w:szCs w:val="21"/>
        </w:rPr>
        <w:t>les jours ouvrés de 9h15 à 11h30 et de 14</w:t>
      </w:r>
      <w:r w:rsidR="00AC361B">
        <w:rPr>
          <w:szCs w:val="21"/>
        </w:rPr>
        <w:t>h15 à 16h30 (lundi au vendredi)</w:t>
      </w:r>
      <w:r w:rsidR="00017BC8">
        <w:rPr>
          <w:szCs w:val="21"/>
        </w:rPr>
        <w:t>.</w:t>
      </w:r>
    </w:p>
    <w:p w14:paraId="2EAD9093" w14:textId="77777777" w:rsidR="00747029" w:rsidRDefault="00747029" w:rsidP="00D853BD">
      <w:pPr>
        <w:spacing w:before="0" w:line="276" w:lineRule="auto"/>
        <w:jc w:val="both"/>
        <w:rPr>
          <w:szCs w:val="21"/>
        </w:rPr>
      </w:pPr>
    </w:p>
    <w:p w14:paraId="4638596A" w14:textId="080E7BBC" w:rsidR="0011511A" w:rsidRPr="00747029" w:rsidRDefault="0011511A" w:rsidP="00D853BD">
      <w:pPr>
        <w:spacing w:before="0" w:line="276" w:lineRule="auto"/>
        <w:jc w:val="both"/>
        <w:rPr>
          <w:szCs w:val="21"/>
        </w:rPr>
      </w:pPr>
      <w:r w:rsidRPr="00747029">
        <w:rPr>
          <w:szCs w:val="21"/>
        </w:rPr>
        <w:t>En cas de différence entre le dossier papier et le dossier électronique, le dossier papier fait foi.</w:t>
      </w:r>
    </w:p>
    <w:p w14:paraId="742FCD43" w14:textId="77777777" w:rsidR="00747029" w:rsidRDefault="00747029" w:rsidP="00D853BD">
      <w:pPr>
        <w:spacing w:before="0" w:line="276" w:lineRule="auto"/>
        <w:jc w:val="both"/>
        <w:rPr>
          <w:szCs w:val="21"/>
        </w:rPr>
      </w:pPr>
    </w:p>
    <w:p w14:paraId="7ACB0A60" w14:textId="0DCC5D9B" w:rsidR="0011511A" w:rsidRPr="00747029" w:rsidRDefault="0011511A" w:rsidP="00D853BD">
      <w:pPr>
        <w:spacing w:before="0" w:line="276" w:lineRule="auto"/>
        <w:jc w:val="both"/>
        <w:rPr>
          <w:rFonts w:cstheme="minorHAnsi"/>
          <w:color w:val="000000" w:themeColor="text1"/>
          <w:szCs w:val="21"/>
        </w:rPr>
      </w:pPr>
      <w:r w:rsidRPr="00747029">
        <w:rPr>
          <w:szCs w:val="21"/>
        </w:rPr>
        <w:t>Qu’il soit envoyé ou déposé, le dossier de candidature devra être présenté sous la forme d’une enveloppe cachetée permettant d’identifier l’appel à projet concerné et le candidat. Le dossier comprendra deux sous-enveloppes cachetées : une portant la mention « appel à projets-</w:t>
      </w:r>
      <w:r w:rsidRPr="00747029">
        <w:rPr>
          <w:rFonts w:cstheme="minorHAnsi"/>
          <w:szCs w:val="21"/>
        </w:rPr>
        <w:t xml:space="preserve">candidature » et </w:t>
      </w:r>
      <w:r w:rsidRPr="00747029">
        <w:rPr>
          <w:rFonts w:cstheme="minorHAnsi"/>
          <w:color w:val="000000" w:themeColor="text1"/>
          <w:szCs w:val="21"/>
        </w:rPr>
        <w:t>l’autre « réponse-projet »</w:t>
      </w:r>
    </w:p>
    <w:p w14:paraId="216DC78E" w14:textId="77777777" w:rsidR="00747029" w:rsidRDefault="00747029" w:rsidP="00D853BD">
      <w:pPr>
        <w:pStyle w:val="NormalWeb"/>
        <w:spacing w:before="0" w:beforeAutospacing="0" w:after="0" w:afterAutospacing="0" w:line="276" w:lineRule="auto"/>
        <w:jc w:val="both"/>
        <w:rPr>
          <w:rFonts w:asciiTheme="minorHAnsi" w:hAnsiTheme="minorHAnsi" w:cstheme="minorHAnsi"/>
          <w:sz w:val="21"/>
          <w:szCs w:val="21"/>
        </w:rPr>
      </w:pPr>
    </w:p>
    <w:p w14:paraId="4B7A5350" w14:textId="0ED48FA6" w:rsidR="0011511A" w:rsidRPr="00747029" w:rsidRDefault="0011511A" w:rsidP="00D853BD">
      <w:pPr>
        <w:spacing w:before="0" w:line="276" w:lineRule="auto"/>
        <w:jc w:val="both"/>
        <w:rPr>
          <w:rFonts w:cs="Times New Roman"/>
          <w:b/>
          <w:szCs w:val="21"/>
        </w:rPr>
      </w:pPr>
      <w:r w:rsidRPr="00747029">
        <w:rPr>
          <w:rFonts w:cs="Times New Roman"/>
          <w:b/>
          <w:szCs w:val="21"/>
        </w:rPr>
        <w:t>En sus des pièces justificatives exigées ci-dessus, il est demandé au porteur de projets de joindre à sa réponse un exemplaire du cahier des charges dûment daté, paraphé à chaque page et signé à la dernière page.</w:t>
      </w:r>
    </w:p>
    <w:p w14:paraId="73B2F776" w14:textId="1F56333A" w:rsidR="001E42E4" w:rsidRPr="00747029" w:rsidRDefault="00FD3924" w:rsidP="00D853BD">
      <w:pPr>
        <w:spacing w:before="0" w:line="276" w:lineRule="auto"/>
        <w:jc w:val="both"/>
        <w:rPr>
          <w:rFonts w:cs="Times New Roman"/>
          <w:b/>
          <w:szCs w:val="21"/>
        </w:rPr>
      </w:pPr>
      <w:r w:rsidRPr="001E42E4">
        <w:rPr>
          <w:rFonts w:cs="Times New Roman"/>
          <w:b/>
          <w:noProof/>
          <w:color w:val="1E22AE" w:themeColor="text2"/>
          <w:sz w:val="22"/>
          <w:szCs w:val="22"/>
          <w:lang w:eastAsia="fr-FR"/>
        </w:rPr>
        <mc:AlternateContent>
          <mc:Choice Requires="wps">
            <w:drawing>
              <wp:anchor distT="0" distB="0" distL="114300" distR="114300" simplePos="0" relativeHeight="251665408" behindDoc="0" locked="0" layoutInCell="1" allowOverlap="1" wp14:anchorId="3BF703D3" wp14:editId="45040507">
                <wp:simplePos x="0" y="0"/>
                <wp:positionH relativeFrom="column">
                  <wp:posOffset>-321753</wp:posOffset>
                </wp:positionH>
                <wp:positionV relativeFrom="paragraph">
                  <wp:posOffset>197318</wp:posOffset>
                </wp:positionV>
                <wp:extent cx="627254" cy="523875"/>
                <wp:effectExtent l="0" t="0" r="1905" b="9525"/>
                <wp:wrapNone/>
                <wp:docPr id="11" name="METRO ICON - traffic signs 2">
                  <a:extLst xmlns:a="http://schemas.openxmlformats.org/drawingml/2006/main">
                    <a:ext uri="{FF2B5EF4-FFF2-40B4-BE49-F238E27FC236}">
                      <a16:creationId xmlns:a16="http://schemas.microsoft.com/office/drawing/2014/main" id="{A5F7C823-4645-850D-1A90-8F6F81DF4E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black">
                        <a:xfrm>
                          <a:off x="0" y="0"/>
                          <a:ext cx="627254" cy="523875"/>
                        </a:xfrm>
                        <a:custGeom>
                          <a:avLst/>
                          <a:gdLst>
                            <a:gd name="T0" fmla="*/ 207 w 413"/>
                            <a:gd name="T1" fmla="*/ 0 h 346"/>
                            <a:gd name="T2" fmla="*/ 0 w 413"/>
                            <a:gd name="T3" fmla="*/ 346 h 346"/>
                            <a:gd name="T4" fmla="*/ 413 w 413"/>
                            <a:gd name="T5" fmla="*/ 346 h 346"/>
                            <a:gd name="T6" fmla="*/ 207 w 413"/>
                            <a:gd name="T7" fmla="*/ 0 h 346"/>
                            <a:gd name="T8" fmla="*/ 189 w 413"/>
                            <a:gd name="T9" fmla="*/ 135 h 346"/>
                            <a:gd name="T10" fmla="*/ 224 w 413"/>
                            <a:gd name="T11" fmla="*/ 135 h 346"/>
                            <a:gd name="T12" fmla="*/ 224 w 413"/>
                            <a:gd name="T13" fmla="*/ 240 h 346"/>
                            <a:gd name="T14" fmla="*/ 189 w 413"/>
                            <a:gd name="T15" fmla="*/ 240 h 346"/>
                            <a:gd name="T16" fmla="*/ 189 w 413"/>
                            <a:gd name="T17" fmla="*/ 135 h 346"/>
                            <a:gd name="T18" fmla="*/ 207 w 413"/>
                            <a:gd name="T19" fmla="*/ 256 h 346"/>
                            <a:gd name="T20" fmla="*/ 232 w 413"/>
                            <a:gd name="T21" fmla="*/ 281 h 346"/>
                            <a:gd name="T22" fmla="*/ 207 w 413"/>
                            <a:gd name="T23" fmla="*/ 306 h 346"/>
                            <a:gd name="T24" fmla="*/ 182 w 413"/>
                            <a:gd name="T25" fmla="*/ 281 h 346"/>
                            <a:gd name="T26" fmla="*/ 207 w 413"/>
                            <a:gd name="T27" fmla="*/ 256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3" h="346">
                              <a:moveTo>
                                <a:pt x="207" y="0"/>
                              </a:moveTo>
                              <a:cubicBezTo>
                                <a:pt x="0" y="346"/>
                                <a:pt x="0" y="346"/>
                                <a:pt x="0" y="346"/>
                              </a:cubicBezTo>
                              <a:cubicBezTo>
                                <a:pt x="413" y="346"/>
                                <a:pt x="413" y="346"/>
                                <a:pt x="413" y="346"/>
                              </a:cubicBezTo>
                              <a:lnTo>
                                <a:pt x="207" y="0"/>
                              </a:lnTo>
                              <a:close/>
                              <a:moveTo>
                                <a:pt x="189" y="135"/>
                              </a:moveTo>
                              <a:cubicBezTo>
                                <a:pt x="224" y="135"/>
                                <a:pt x="224" y="135"/>
                                <a:pt x="224" y="135"/>
                              </a:cubicBezTo>
                              <a:cubicBezTo>
                                <a:pt x="224" y="240"/>
                                <a:pt x="224" y="240"/>
                                <a:pt x="224" y="240"/>
                              </a:cubicBezTo>
                              <a:cubicBezTo>
                                <a:pt x="189" y="240"/>
                                <a:pt x="189" y="240"/>
                                <a:pt x="189" y="240"/>
                              </a:cubicBezTo>
                              <a:lnTo>
                                <a:pt x="189" y="135"/>
                              </a:lnTo>
                              <a:close/>
                              <a:moveTo>
                                <a:pt x="207" y="256"/>
                              </a:moveTo>
                              <a:cubicBezTo>
                                <a:pt x="221" y="256"/>
                                <a:pt x="232" y="267"/>
                                <a:pt x="232" y="281"/>
                              </a:cubicBezTo>
                              <a:cubicBezTo>
                                <a:pt x="232" y="295"/>
                                <a:pt x="221" y="306"/>
                                <a:pt x="207" y="306"/>
                              </a:cubicBezTo>
                              <a:cubicBezTo>
                                <a:pt x="193" y="306"/>
                                <a:pt x="182" y="295"/>
                                <a:pt x="182" y="281"/>
                              </a:cubicBezTo>
                              <a:cubicBezTo>
                                <a:pt x="182" y="267"/>
                                <a:pt x="193" y="256"/>
                                <a:pt x="207" y="256"/>
                              </a:cubicBezTo>
                              <a:close/>
                            </a:path>
                          </a:pathLst>
                        </a:custGeom>
                        <a:solidFill>
                          <a:srgbClr val="1E22A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310DFC" id="METRO ICON - traffic signs 2" o:spid="_x0000_s1026" style="position:absolute;margin-left:-25.35pt;margin-top:15.55pt;width:49.4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3,346"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" path="m207,c,346,,346,,346v413,,413,,413,l207,xm189,135v35,,35,,35,c224,240,224,240,224,240v-35,,-35,,-35,l189,135xm207,256v14,,25,11,25,25c232,295,221,306,207,306v-14,,-25,-11,-25,-25c182,267,193,256,207,256xe" fillcolor="#1e22ae" stroked="f">
                <v:path arrowok="t" o:connecttype="custom" o:connectlocs="314386,0;0,523875;627254,523875;314386,0;287048,204402;340206,204402;340206,363382;287048,363382;287048,204402;314386,387607;352356,425459;314386,463311;276417,425459;314386,387607" o:connectangles="0,0,0,0,0,0,0,0,0,0,0,0,0,0"/>
                <o:lock v:ext="edit" aspectratio="t" verticies="t"/>
              </v:shape>
            </w:pict>
          </mc:Fallback>
        </mc:AlternateContent>
      </w:r>
    </w:p>
    <w:p w14:paraId="2A0ACEA4" w14:textId="54BE3077" w:rsidR="001E42E4" w:rsidRPr="00FD3924" w:rsidRDefault="00FD3924" w:rsidP="00D853BD">
      <w:pPr>
        <w:spacing w:before="0" w:line="276" w:lineRule="auto"/>
        <w:ind w:left="708"/>
        <w:jc w:val="both"/>
        <w:rPr>
          <w:rFonts w:cs="Times New Roman"/>
          <w:b/>
          <w:color w:val="1E22AE" w:themeColor="text2"/>
          <w:szCs w:val="21"/>
        </w:rPr>
      </w:pPr>
      <w:r w:rsidRPr="00FD3924">
        <w:rPr>
          <w:rFonts w:cs="Times New Roman"/>
          <w:b/>
          <w:noProof/>
          <w:color w:val="1E22AE" w:themeColor="text2"/>
          <w:szCs w:val="21"/>
          <w:lang w:eastAsia="fr-FR"/>
        </w:rPr>
        <mc:AlternateContent>
          <mc:Choice Requires="wps">
            <w:drawing>
              <wp:anchor distT="0" distB="0" distL="114300" distR="114300" simplePos="0" relativeHeight="251666432" behindDoc="1" locked="0" layoutInCell="1" allowOverlap="1" wp14:anchorId="5728A820" wp14:editId="6B32B98B">
                <wp:simplePos x="0" y="0"/>
                <wp:positionH relativeFrom="column">
                  <wp:posOffset>385541</wp:posOffset>
                </wp:positionH>
                <wp:positionV relativeFrom="paragraph">
                  <wp:posOffset>7801</wp:posOffset>
                </wp:positionV>
                <wp:extent cx="5495925" cy="601512"/>
                <wp:effectExtent l="0" t="0" r="28575" b="27305"/>
                <wp:wrapNone/>
                <wp:docPr id="2" name="Rectangle à coins arrondis 2"/>
                <wp:cNvGraphicFramePr/>
                <a:graphic xmlns:a="http://schemas.openxmlformats.org/drawingml/2006/main">
                  <a:graphicData uri="http://schemas.microsoft.com/office/word/2010/wordprocessingShape">
                    <wps:wsp>
                      <wps:cNvSpPr/>
                      <wps:spPr>
                        <a:xfrm>
                          <a:off x="0" y="0"/>
                          <a:ext cx="5495925" cy="601512"/>
                        </a:xfrm>
                        <a:prstGeom prst="roundRect">
                          <a:avLst/>
                        </a:prstGeom>
                        <a:solidFill>
                          <a:schemeClr val="accent1">
                            <a:lumMod val="20000"/>
                            <a:lumOff val="8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0628B9A" id="Rectangle à coins arrondis 2" o:spid="_x0000_s1026" style="position:absolute;margin-left:30.35pt;margin-top:.6pt;width:432.75pt;height:47.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" fillcolor="#cacbf6 [660]" strokecolor="#504182 [1609]" strokeweight="1pt">
                <v:stroke joinstyle="miter"/>
              </v:roundrect>
            </w:pict>
          </mc:Fallback>
        </mc:AlternateContent>
      </w:r>
      <w:r w:rsidR="001E42E4" w:rsidRPr="00FD3924">
        <w:rPr>
          <w:rFonts w:cs="Times New Roman"/>
          <w:b/>
          <w:color w:val="1E22AE" w:themeColor="text2"/>
          <w:szCs w:val="21"/>
        </w:rPr>
        <w:t xml:space="preserve">En cas de pièce(s) manquante(s), et en vertu de l’article R313-6 du CASF, et/ou en cas de non-respect des conditions fixées par ledit article, tout dossier pourra être refusé et ne pas être soumis à la Commission d‘information et de sélection. </w:t>
      </w:r>
    </w:p>
    <w:p w14:paraId="2EDAF463" w14:textId="77777777" w:rsidR="0011511A" w:rsidRPr="0004646A" w:rsidRDefault="0011511A" w:rsidP="00D853BD">
      <w:pPr>
        <w:spacing w:before="0" w:line="276" w:lineRule="auto"/>
        <w:ind w:left="708"/>
        <w:jc w:val="both"/>
        <w:rPr>
          <w:rFonts w:cs="Times New Roman"/>
          <w:b/>
          <w:sz w:val="22"/>
          <w:szCs w:val="22"/>
        </w:rPr>
      </w:pPr>
    </w:p>
    <w:p w14:paraId="20DE4904" w14:textId="77777777" w:rsidR="0011511A" w:rsidRPr="00FD3924" w:rsidRDefault="0011511A" w:rsidP="00D853BD">
      <w:pPr>
        <w:spacing w:before="0" w:line="276" w:lineRule="auto"/>
        <w:jc w:val="both"/>
        <w:rPr>
          <w:rFonts w:cs="Times New Roman"/>
          <w:szCs w:val="21"/>
        </w:rPr>
      </w:pPr>
      <w:r w:rsidRPr="00FD3924">
        <w:rPr>
          <w:rFonts w:cs="Times New Roman"/>
          <w:szCs w:val="21"/>
        </w:rPr>
        <w:t>Une fois déposé, le projet du candidat ne peut être ni retiré ni modifié unilatéralement par ce dernier. Le candidat qui souhaite faire une réponse différente de sa réponse initiale doit présenter dans les délais impartis une nouvelle réponse qui se substitue à la première.</w:t>
      </w:r>
    </w:p>
    <w:p w14:paraId="3FAA7F03" w14:textId="77777777" w:rsidR="00FD3924" w:rsidRDefault="00FD3924" w:rsidP="00D853BD">
      <w:pPr>
        <w:spacing w:before="0" w:line="276" w:lineRule="auto"/>
        <w:jc w:val="both"/>
        <w:rPr>
          <w:rFonts w:cs="Times New Roman"/>
          <w:szCs w:val="21"/>
        </w:rPr>
      </w:pPr>
    </w:p>
    <w:p w14:paraId="4D59DF5C" w14:textId="0801947F" w:rsidR="0011511A" w:rsidRPr="00FD3924" w:rsidRDefault="0011511A" w:rsidP="00D853BD">
      <w:pPr>
        <w:spacing w:before="0" w:line="276" w:lineRule="auto"/>
        <w:jc w:val="both"/>
        <w:rPr>
          <w:rFonts w:cs="Times New Roman"/>
          <w:szCs w:val="21"/>
        </w:rPr>
      </w:pPr>
      <w:r w:rsidRPr="00FD3924">
        <w:rPr>
          <w:rFonts w:cs="Times New Roman"/>
          <w:szCs w:val="21"/>
        </w:rPr>
        <w:t>Il y a donc lieu d’adresser un nouveau projet complet et non un additif.</w:t>
      </w:r>
    </w:p>
    <w:p w14:paraId="64D05151" w14:textId="77777777" w:rsidR="00FD3924" w:rsidRDefault="00FD3924" w:rsidP="00D853BD">
      <w:pPr>
        <w:spacing w:before="0" w:line="276" w:lineRule="auto"/>
        <w:jc w:val="both"/>
        <w:rPr>
          <w:szCs w:val="21"/>
        </w:rPr>
      </w:pPr>
    </w:p>
    <w:p w14:paraId="0BDAB16E" w14:textId="172B6D13" w:rsidR="0011511A" w:rsidRPr="00FD3924" w:rsidRDefault="0011511A" w:rsidP="00D853BD">
      <w:pPr>
        <w:spacing w:before="0" w:line="276" w:lineRule="auto"/>
        <w:jc w:val="both"/>
        <w:rPr>
          <w:b/>
          <w:szCs w:val="21"/>
        </w:rPr>
      </w:pPr>
      <w:r w:rsidRPr="00FD3924">
        <w:rPr>
          <w:szCs w:val="21"/>
        </w:rPr>
        <w:t xml:space="preserve">Le dossier de réponse doit être déposé ou réceptionné au plus tard </w:t>
      </w:r>
      <w:r w:rsidR="00AC361B">
        <w:rPr>
          <w:b/>
          <w:szCs w:val="21"/>
        </w:rPr>
        <w:t>vendredi 12</w:t>
      </w:r>
      <w:r w:rsidR="00C67399">
        <w:rPr>
          <w:b/>
          <w:szCs w:val="21"/>
        </w:rPr>
        <w:t xml:space="preserve"> décembre</w:t>
      </w:r>
      <w:r w:rsidR="00017BC8">
        <w:rPr>
          <w:b/>
          <w:szCs w:val="21"/>
        </w:rPr>
        <w:t xml:space="preserve"> 2025</w:t>
      </w:r>
      <w:r w:rsidR="00C67399">
        <w:rPr>
          <w:b/>
          <w:szCs w:val="21"/>
        </w:rPr>
        <w:t xml:space="preserve"> à </w:t>
      </w:r>
      <w:r w:rsidR="00AC361B">
        <w:rPr>
          <w:b/>
          <w:szCs w:val="21"/>
        </w:rPr>
        <w:t>16h30</w:t>
      </w:r>
      <w:r w:rsidRPr="00FD3924">
        <w:rPr>
          <w:b/>
          <w:szCs w:val="21"/>
        </w:rPr>
        <w:t>.</w:t>
      </w:r>
    </w:p>
    <w:p w14:paraId="1F0361DE" w14:textId="17E65E3B" w:rsidR="00F800F7" w:rsidRDefault="00F800F7">
      <w:pPr>
        <w:spacing w:before="0"/>
        <w:rPr>
          <w:b/>
          <w:sz w:val="24"/>
        </w:rPr>
      </w:pPr>
      <w:r>
        <w:rPr>
          <w:b/>
          <w:sz w:val="24"/>
        </w:rPr>
        <w:br w:type="page"/>
      </w:r>
    </w:p>
    <w:p w14:paraId="7BB9B567" w14:textId="77777777" w:rsidR="0011511A" w:rsidRDefault="0011511A" w:rsidP="00D853BD">
      <w:pPr>
        <w:spacing w:before="0" w:line="276" w:lineRule="auto"/>
        <w:jc w:val="both"/>
        <w:rPr>
          <w:b/>
          <w:sz w:val="24"/>
        </w:rPr>
      </w:pPr>
    </w:p>
    <w:p w14:paraId="626027A7" w14:textId="2C5A0EED" w:rsidR="0011511A" w:rsidRDefault="0011511A" w:rsidP="00D853BD">
      <w:pPr>
        <w:pStyle w:val="Titre1"/>
        <w:spacing w:before="0" w:after="0" w:line="276" w:lineRule="auto"/>
        <w:jc w:val="both"/>
        <w:rPr>
          <w:sz w:val="40"/>
        </w:rPr>
      </w:pPr>
      <w:bookmarkStart w:id="15" w:name="_Toc206059864"/>
      <w:r>
        <w:rPr>
          <w:sz w:val="40"/>
        </w:rPr>
        <w:t>7</w:t>
      </w:r>
      <w:r w:rsidRPr="0011511A">
        <w:rPr>
          <w:sz w:val="40"/>
        </w:rPr>
        <w:t xml:space="preserve"> </w:t>
      </w:r>
      <w:r>
        <w:rPr>
          <w:sz w:val="40"/>
        </w:rPr>
        <w:t>–</w:t>
      </w:r>
      <w:r w:rsidRPr="0011511A">
        <w:rPr>
          <w:sz w:val="40"/>
        </w:rPr>
        <w:t xml:space="preserve"> </w:t>
      </w:r>
      <w:r>
        <w:rPr>
          <w:sz w:val="40"/>
        </w:rPr>
        <w:t>Calendrier</w:t>
      </w:r>
      <w:bookmarkEnd w:id="15"/>
    </w:p>
    <w:tbl>
      <w:tblPr>
        <w:tblStyle w:val="Grilledutableau"/>
        <w:tblW w:w="9918" w:type="dxa"/>
        <w:tblLook w:val="04A0" w:firstRow="1" w:lastRow="0" w:firstColumn="1" w:lastColumn="0" w:noHBand="0" w:noVBand="1"/>
      </w:tblPr>
      <w:tblGrid>
        <w:gridCol w:w="4528"/>
        <w:gridCol w:w="5390"/>
      </w:tblGrid>
      <w:tr w:rsidR="00C67399" w:rsidRPr="00C67399" w14:paraId="09E35AAA" w14:textId="77777777" w:rsidTr="001942F0">
        <w:tc>
          <w:tcPr>
            <w:tcW w:w="4528" w:type="dxa"/>
            <w:vAlign w:val="center"/>
          </w:tcPr>
          <w:p w14:paraId="1400E986" w14:textId="56997D63" w:rsidR="00C67399" w:rsidRPr="00C67399" w:rsidRDefault="00C67399" w:rsidP="00D853BD">
            <w:pPr>
              <w:spacing w:before="0" w:line="276" w:lineRule="auto"/>
              <w:rPr>
                <w:b/>
                <w:sz w:val="18"/>
                <w:szCs w:val="18"/>
              </w:rPr>
            </w:pPr>
            <w:r w:rsidRPr="00C67399">
              <w:rPr>
                <w:b/>
                <w:sz w:val="18"/>
                <w:szCs w:val="18"/>
              </w:rPr>
              <w:t>Etape</w:t>
            </w:r>
          </w:p>
        </w:tc>
        <w:tc>
          <w:tcPr>
            <w:tcW w:w="5390" w:type="dxa"/>
            <w:vAlign w:val="center"/>
          </w:tcPr>
          <w:p w14:paraId="020B630B" w14:textId="19115086" w:rsidR="00C67399" w:rsidRPr="00C67399" w:rsidRDefault="00C67399" w:rsidP="00D853BD">
            <w:pPr>
              <w:spacing w:before="0" w:line="276" w:lineRule="auto"/>
              <w:rPr>
                <w:b/>
                <w:sz w:val="18"/>
                <w:szCs w:val="18"/>
              </w:rPr>
            </w:pPr>
            <w:r w:rsidRPr="00C67399">
              <w:rPr>
                <w:b/>
                <w:sz w:val="18"/>
                <w:szCs w:val="18"/>
              </w:rPr>
              <w:t>Date</w:t>
            </w:r>
          </w:p>
        </w:tc>
      </w:tr>
      <w:tr w:rsidR="00C67399" w:rsidRPr="00C67399" w14:paraId="62340DF9" w14:textId="77777777" w:rsidTr="001942F0">
        <w:tc>
          <w:tcPr>
            <w:tcW w:w="4528" w:type="dxa"/>
            <w:vAlign w:val="center"/>
          </w:tcPr>
          <w:p w14:paraId="7219F20A" w14:textId="1A245A82" w:rsidR="00C67399" w:rsidRPr="00C67399" w:rsidRDefault="00C67399" w:rsidP="00D853BD">
            <w:pPr>
              <w:spacing w:before="0" w:line="276" w:lineRule="auto"/>
              <w:rPr>
                <w:sz w:val="18"/>
                <w:szCs w:val="18"/>
              </w:rPr>
            </w:pPr>
            <w:r w:rsidRPr="00C67399">
              <w:rPr>
                <w:rFonts w:cs="Times New Roman"/>
                <w:sz w:val="18"/>
                <w:szCs w:val="18"/>
              </w:rPr>
              <w:t>Publication de l’avis d’appel à projet et de ses annexes</w:t>
            </w:r>
          </w:p>
        </w:tc>
        <w:tc>
          <w:tcPr>
            <w:tcW w:w="5390" w:type="dxa"/>
            <w:vAlign w:val="center"/>
          </w:tcPr>
          <w:p w14:paraId="68676900" w14:textId="1ADBF883" w:rsidR="00C67399" w:rsidRPr="00B10986" w:rsidRDefault="00C67399" w:rsidP="00AC361B">
            <w:pPr>
              <w:spacing w:before="0" w:line="276" w:lineRule="auto"/>
              <w:rPr>
                <w:b/>
                <w:sz w:val="18"/>
                <w:szCs w:val="18"/>
              </w:rPr>
            </w:pPr>
            <w:r w:rsidRPr="00B10986">
              <w:rPr>
                <w:rFonts w:cs="Times New Roman"/>
                <w:b/>
                <w:sz w:val="18"/>
                <w:szCs w:val="18"/>
              </w:rPr>
              <w:t xml:space="preserve">Du lundi 13 octobre 9h00 au </w:t>
            </w:r>
            <w:r w:rsidR="00AC361B">
              <w:rPr>
                <w:rFonts w:cs="Times New Roman"/>
                <w:b/>
                <w:sz w:val="18"/>
                <w:szCs w:val="18"/>
              </w:rPr>
              <w:t>vendredi 12</w:t>
            </w:r>
            <w:r w:rsidRPr="00B10986">
              <w:rPr>
                <w:rFonts w:cs="Times New Roman"/>
                <w:b/>
                <w:sz w:val="18"/>
                <w:szCs w:val="18"/>
              </w:rPr>
              <w:t xml:space="preserve"> décembre </w:t>
            </w:r>
            <w:r w:rsidR="00AC361B">
              <w:rPr>
                <w:rFonts w:cs="Times New Roman"/>
                <w:b/>
                <w:sz w:val="18"/>
                <w:szCs w:val="18"/>
              </w:rPr>
              <w:t>16h30</w:t>
            </w:r>
          </w:p>
        </w:tc>
      </w:tr>
      <w:tr w:rsidR="00C67399" w:rsidRPr="00C67399" w14:paraId="19B576C3" w14:textId="77777777" w:rsidTr="001942F0">
        <w:tc>
          <w:tcPr>
            <w:tcW w:w="4528" w:type="dxa"/>
            <w:vAlign w:val="center"/>
          </w:tcPr>
          <w:p w14:paraId="0208F5A8" w14:textId="57B2632B" w:rsidR="00C67399" w:rsidRPr="00C67399" w:rsidRDefault="00C67399" w:rsidP="00D853BD">
            <w:pPr>
              <w:spacing w:before="0" w:line="276" w:lineRule="auto"/>
              <w:rPr>
                <w:sz w:val="18"/>
                <w:szCs w:val="18"/>
              </w:rPr>
            </w:pPr>
            <w:r w:rsidRPr="00C67399">
              <w:rPr>
                <w:rFonts w:cs="Times New Roman"/>
                <w:sz w:val="18"/>
                <w:szCs w:val="18"/>
              </w:rPr>
              <w:t>Date limite de réception des dossiers de candidature</w:t>
            </w:r>
          </w:p>
        </w:tc>
        <w:tc>
          <w:tcPr>
            <w:tcW w:w="5390" w:type="dxa"/>
            <w:vAlign w:val="center"/>
          </w:tcPr>
          <w:p w14:paraId="2CC4EC99" w14:textId="3E49AC13" w:rsidR="00C67399" w:rsidRPr="00B10986" w:rsidRDefault="005C0F5D" w:rsidP="005C0F5D">
            <w:pPr>
              <w:spacing w:before="0" w:line="276" w:lineRule="auto"/>
              <w:rPr>
                <w:b/>
                <w:sz w:val="18"/>
                <w:szCs w:val="18"/>
              </w:rPr>
            </w:pPr>
            <w:r>
              <w:rPr>
                <w:rFonts w:cs="Times New Roman"/>
                <w:b/>
                <w:sz w:val="18"/>
                <w:szCs w:val="18"/>
              </w:rPr>
              <w:t>Vendredi 12</w:t>
            </w:r>
            <w:r w:rsidR="00C67399" w:rsidRPr="00B10986">
              <w:rPr>
                <w:rFonts w:cs="Times New Roman"/>
                <w:b/>
                <w:sz w:val="18"/>
                <w:szCs w:val="18"/>
              </w:rPr>
              <w:t xml:space="preserve"> décembre 2025 à 1</w:t>
            </w:r>
            <w:r>
              <w:rPr>
                <w:rFonts w:cs="Times New Roman"/>
                <w:b/>
                <w:sz w:val="18"/>
                <w:szCs w:val="18"/>
              </w:rPr>
              <w:t>6h30</w:t>
            </w:r>
          </w:p>
        </w:tc>
      </w:tr>
      <w:tr w:rsidR="00C67399" w:rsidRPr="00C67399" w14:paraId="187936E1" w14:textId="77777777" w:rsidTr="001942F0">
        <w:tc>
          <w:tcPr>
            <w:tcW w:w="4528" w:type="dxa"/>
            <w:vAlign w:val="center"/>
          </w:tcPr>
          <w:p w14:paraId="6199E4C3" w14:textId="05A999F0" w:rsidR="00C67399" w:rsidRPr="001942F0" w:rsidRDefault="00C67399" w:rsidP="00D853BD">
            <w:pPr>
              <w:spacing w:before="0" w:line="276" w:lineRule="auto"/>
              <w:rPr>
                <w:sz w:val="18"/>
                <w:szCs w:val="18"/>
              </w:rPr>
            </w:pPr>
            <w:r w:rsidRPr="001942F0">
              <w:rPr>
                <w:rFonts w:cs="Times New Roman"/>
                <w:sz w:val="18"/>
                <w:szCs w:val="18"/>
              </w:rPr>
              <w:t>Instruction des projets</w:t>
            </w:r>
          </w:p>
        </w:tc>
        <w:tc>
          <w:tcPr>
            <w:tcW w:w="5390" w:type="dxa"/>
            <w:vAlign w:val="center"/>
          </w:tcPr>
          <w:p w14:paraId="67EA0972" w14:textId="3B5AE77D" w:rsidR="00C67399" w:rsidRPr="00B10986" w:rsidRDefault="00C67399" w:rsidP="005C0F5D">
            <w:pPr>
              <w:spacing w:before="0" w:line="276" w:lineRule="auto"/>
              <w:rPr>
                <w:b/>
                <w:sz w:val="18"/>
                <w:szCs w:val="18"/>
              </w:rPr>
            </w:pPr>
            <w:r w:rsidRPr="00B10986">
              <w:rPr>
                <w:b/>
                <w:sz w:val="18"/>
                <w:szCs w:val="18"/>
              </w:rPr>
              <w:t xml:space="preserve">Du </w:t>
            </w:r>
            <w:r w:rsidR="005C0F5D">
              <w:rPr>
                <w:b/>
                <w:sz w:val="18"/>
                <w:szCs w:val="18"/>
              </w:rPr>
              <w:t>lundi 15</w:t>
            </w:r>
            <w:r w:rsidRPr="00B10986">
              <w:rPr>
                <w:b/>
                <w:sz w:val="18"/>
                <w:szCs w:val="18"/>
              </w:rPr>
              <w:t xml:space="preserve"> décembre</w:t>
            </w:r>
            <w:r w:rsidR="001942F0" w:rsidRPr="00B10986">
              <w:rPr>
                <w:b/>
                <w:sz w:val="18"/>
                <w:szCs w:val="18"/>
              </w:rPr>
              <w:t xml:space="preserve"> 2025 au vendredi 9 janvier 2026</w:t>
            </w:r>
          </w:p>
        </w:tc>
      </w:tr>
      <w:tr w:rsidR="00C67399" w:rsidRPr="00C67399" w14:paraId="125FFFF8" w14:textId="77777777" w:rsidTr="001942F0">
        <w:tc>
          <w:tcPr>
            <w:tcW w:w="4528" w:type="dxa"/>
            <w:vAlign w:val="center"/>
          </w:tcPr>
          <w:p w14:paraId="7D3B0EC1" w14:textId="1D4854EC" w:rsidR="00C67399" w:rsidRPr="001942F0" w:rsidRDefault="001942F0" w:rsidP="001942F0">
            <w:pPr>
              <w:spacing w:before="0" w:line="276" w:lineRule="auto"/>
              <w:rPr>
                <w:sz w:val="18"/>
                <w:szCs w:val="18"/>
              </w:rPr>
            </w:pPr>
            <w:r w:rsidRPr="001942F0">
              <w:rPr>
                <w:rFonts w:cs="Times New Roman"/>
                <w:sz w:val="18"/>
                <w:szCs w:val="18"/>
              </w:rPr>
              <w:t>Date de de la commission d’information et de sélection d’avis d’appel à projet</w:t>
            </w:r>
          </w:p>
        </w:tc>
        <w:tc>
          <w:tcPr>
            <w:tcW w:w="5390" w:type="dxa"/>
            <w:vAlign w:val="center"/>
          </w:tcPr>
          <w:p w14:paraId="5DB20B15" w14:textId="5F3F07C0" w:rsidR="00C67399" w:rsidRPr="00B10986" w:rsidRDefault="005C0F5D" w:rsidP="00D853BD">
            <w:pPr>
              <w:spacing w:before="0" w:line="276" w:lineRule="auto"/>
              <w:rPr>
                <w:b/>
                <w:sz w:val="18"/>
                <w:szCs w:val="18"/>
              </w:rPr>
            </w:pPr>
            <w:r>
              <w:rPr>
                <w:b/>
                <w:sz w:val="18"/>
                <w:szCs w:val="18"/>
              </w:rPr>
              <w:t>Le jeudi 22 janvier 2026</w:t>
            </w:r>
            <w:bookmarkStart w:id="16" w:name="_GoBack"/>
            <w:bookmarkEnd w:id="16"/>
          </w:p>
        </w:tc>
      </w:tr>
      <w:tr w:rsidR="00C67399" w:rsidRPr="00C67399" w14:paraId="4FB93800" w14:textId="77777777" w:rsidTr="001942F0">
        <w:tc>
          <w:tcPr>
            <w:tcW w:w="4528" w:type="dxa"/>
            <w:vAlign w:val="center"/>
          </w:tcPr>
          <w:p w14:paraId="07EB90AF" w14:textId="74B1D15B" w:rsidR="00C67399" w:rsidRPr="00C67399" w:rsidRDefault="001942F0" w:rsidP="001942F0">
            <w:pPr>
              <w:spacing w:before="0" w:line="276" w:lineRule="auto"/>
              <w:rPr>
                <w:sz w:val="18"/>
                <w:szCs w:val="18"/>
              </w:rPr>
            </w:pPr>
            <w:r>
              <w:rPr>
                <w:rFonts w:cs="Times New Roman"/>
                <w:sz w:val="18"/>
                <w:szCs w:val="18"/>
              </w:rPr>
              <w:t>Date de s</w:t>
            </w:r>
            <w:r w:rsidRPr="001942F0">
              <w:rPr>
                <w:rFonts w:cs="Times New Roman"/>
                <w:sz w:val="18"/>
                <w:szCs w:val="18"/>
              </w:rPr>
              <w:t xml:space="preserve">élection et </w:t>
            </w:r>
            <w:r>
              <w:rPr>
                <w:rFonts w:cs="Times New Roman"/>
                <w:sz w:val="18"/>
                <w:szCs w:val="18"/>
              </w:rPr>
              <w:t xml:space="preserve">notification de </w:t>
            </w:r>
            <w:r w:rsidRPr="001942F0">
              <w:rPr>
                <w:rFonts w:cs="Times New Roman"/>
                <w:sz w:val="18"/>
                <w:szCs w:val="18"/>
              </w:rPr>
              <w:t>décision</w:t>
            </w:r>
            <w:r w:rsidRPr="00C67399">
              <w:rPr>
                <w:rFonts w:cs="Times New Roman"/>
                <w:b/>
                <w:szCs w:val="21"/>
              </w:rPr>
              <w:t> </w:t>
            </w:r>
          </w:p>
        </w:tc>
        <w:tc>
          <w:tcPr>
            <w:tcW w:w="5390" w:type="dxa"/>
            <w:vAlign w:val="center"/>
          </w:tcPr>
          <w:p w14:paraId="731A36E7" w14:textId="11D4C37F" w:rsidR="00C67399" w:rsidRPr="00B10986" w:rsidRDefault="001942F0" w:rsidP="00D853BD">
            <w:pPr>
              <w:spacing w:before="0" w:line="276" w:lineRule="auto"/>
              <w:rPr>
                <w:b/>
                <w:sz w:val="18"/>
                <w:szCs w:val="18"/>
              </w:rPr>
            </w:pPr>
            <w:r w:rsidRPr="00B10986">
              <w:rPr>
                <w:b/>
                <w:sz w:val="18"/>
                <w:szCs w:val="18"/>
              </w:rPr>
              <w:t>Au plus tard le 31 janvier 2026</w:t>
            </w:r>
          </w:p>
        </w:tc>
      </w:tr>
    </w:tbl>
    <w:p w14:paraId="15FB74D7" w14:textId="2D13DB2D" w:rsidR="0011511A" w:rsidRPr="00C67399" w:rsidRDefault="0011511A" w:rsidP="00D853BD">
      <w:pPr>
        <w:spacing w:before="0" w:line="276" w:lineRule="auto"/>
        <w:rPr>
          <w:szCs w:val="21"/>
        </w:rPr>
      </w:pPr>
    </w:p>
    <w:p w14:paraId="1C07DBD9" w14:textId="77777777" w:rsidR="00F800F7" w:rsidRDefault="0011511A" w:rsidP="00D853BD">
      <w:pPr>
        <w:spacing w:before="0" w:line="276" w:lineRule="auto"/>
        <w:ind w:left="360"/>
        <w:jc w:val="both"/>
        <w:rPr>
          <w:rFonts w:cs="Times New Roman"/>
          <w:szCs w:val="21"/>
        </w:rPr>
      </w:pPr>
      <w:r w:rsidRPr="00C67399">
        <w:rPr>
          <w:rFonts w:cs="Times New Roman"/>
          <w:szCs w:val="21"/>
        </w:rPr>
        <w:tab/>
      </w:r>
      <w:r w:rsidRPr="00C67399">
        <w:rPr>
          <w:rFonts w:cs="Times New Roman"/>
          <w:szCs w:val="21"/>
        </w:rPr>
        <w:tab/>
      </w:r>
      <w:r w:rsidRPr="00C67399">
        <w:rPr>
          <w:rFonts w:cs="Times New Roman"/>
          <w:szCs w:val="21"/>
        </w:rPr>
        <w:tab/>
      </w:r>
    </w:p>
    <w:p w14:paraId="2520837A" w14:textId="77777777" w:rsidR="00F800F7" w:rsidRDefault="00F800F7" w:rsidP="00D853BD">
      <w:pPr>
        <w:spacing w:before="0" w:line="276" w:lineRule="auto"/>
        <w:ind w:left="360"/>
        <w:jc w:val="both"/>
        <w:rPr>
          <w:rFonts w:cs="Times New Roman"/>
          <w:szCs w:val="21"/>
        </w:rPr>
      </w:pPr>
    </w:p>
    <w:p w14:paraId="231EB617" w14:textId="63F41041" w:rsidR="0011511A" w:rsidRPr="00C67399" w:rsidRDefault="0011511A" w:rsidP="00D853BD">
      <w:pPr>
        <w:spacing w:before="0" w:line="276" w:lineRule="auto"/>
        <w:ind w:left="360"/>
        <w:jc w:val="both"/>
        <w:rPr>
          <w:rFonts w:cs="Times New Roman"/>
          <w:b/>
          <w:szCs w:val="21"/>
        </w:rPr>
      </w:pPr>
      <w:r w:rsidRPr="00C67399">
        <w:rPr>
          <w:rFonts w:cs="Times New Roman"/>
          <w:szCs w:val="21"/>
        </w:rPr>
        <w:tab/>
      </w:r>
      <w:r w:rsidRPr="00C67399">
        <w:rPr>
          <w:rFonts w:cs="Times New Roman"/>
          <w:szCs w:val="21"/>
        </w:rPr>
        <w:tab/>
      </w:r>
    </w:p>
    <w:p w14:paraId="7F00D11C" w14:textId="77777777" w:rsidR="0011511A" w:rsidRPr="0004646A" w:rsidRDefault="0011511A" w:rsidP="00D853BD">
      <w:pPr>
        <w:spacing w:before="0" w:line="276" w:lineRule="auto"/>
        <w:jc w:val="both"/>
        <w:rPr>
          <w:rFonts w:cs="Times New Roman"/>
          <w:b/>
          <w:sz w:val="22"/>
          <w:szCs w:val="22"/>
        </w:rPr>
      </w:pPr>
    </w:p>
    <w:p w14:paraId="404CC550" w14:textId="6C4D6A30" w:rsidR="0011511A" w:rsidRPr="0004646A" w:rsidRDefault="0011511A" w:rsidP="00D853BD">
      <w:pPr>
        <w:spacing w:before="0" w:line="276" w:lineRule="auto"/>
        <w:ind w:left="360"/>
        <w:jc w:val="both"/>
        <w:rPr>
          <w:rFonts w:cs="Times New Roman"/>
          <w:b/>
          <w:sz w:val="22"/>
          <w:szCs w:val="22"/>
        </w:rPr>
      </w:pPr>
      <w:r w:rsidRPr="0004646A">
        <w:rPr>
          <w:rFonts w:cs="Times New Roman"/>
          <w:b/>
          <w:sz w:val="22"/>
          <w:szCs w:val="22"/>
        </w:rPr>
        <w:t>Fait à Angers, le</w:t>
      </w:r>
    </w:p>
    <w:tbl>
      <w:tblPr>
        <w:tblW w:w="0" w:type="auto"/>
        <w:tblLayout w:type="fixed"/>
        <w:tblCellMar>
          <w:left w:w="71" w:type="dxa"/>
          <w:right w:w="71" w:type="dxa"/>
        </w:tblCellMar>
        <w:tblLook w:val="0000" w:firstRow="0" w:lastRow="0" w:firstColumn="0" w:lastColumn="0" w:noHBand="0" w:noVBand="0"/>
      </w:tblPr>
      <w:tblGrid>
        <w:gridCol w:w="4610"/>
        <w:gridCol w:w="4678"/>
      </w:tblGrid>
      <w:tr w:rsidR="0011511A" w:rsidRPr="0004646A" w14:paraId="61C64204" w14:textId="77777777" w:rsidTr="006B1EE7">
        <w:trPr>
          <w:trHeight w:val="1900"/>
        </w:trPr>
        <w:tc>
          <w:tcPr>
            <w:tcW w:w="4610" w:type="dxa"/>
          </w:tcPr>
          <w:p w14:paraId="313BAE2D" w14:textId="77777777" w:rsidR="00FD3924" w:rsidRDefault="00FD3924" w:rsidP="00FD3924">
            <w:pPr>
              <w:spacing w:before="0" w:line="276" w:lineRule="auto"/>
              <w:ind w:left="-1344" w:firstLine="3"/>
              <w:jc w:val="center"/>
              <w:rPr>
                <w:rFonts w:cs="Times New Roman"/>
                <w:b/>
                <w:sz w:val="22"/>
                <w:szCs w:val="22"/>
              </w:rPr>
            </w:pPr>
          </w:p>
          <w:p w14:paraId="02761291" w14:textId="2BA51DA7" w:rsidR="00FD3924" w:rsidRPr="0004646A" w:rsidRDefault="006F2359" w:rsidP="00FD3924">
            <w:pPr>
              <w:spacing w:before="0" w:line="276" w:lineRule="auto"/>
              <w:ind w:left="139" w:firstLine="3"/>
              <w:jc w:val="center"/>
              <w:rPr>
                <w:rFonts w:cs="Times New Roman"/>
                <w:b/>
                <w:sz w:val="22"/>
                <w:szCs w:val="22"/>
              </w:rPr>
            </w:pPr>
            <w:r>
              <w:rPr>
                <w:rFonts w:cs="Times New Roman"/>
                <w:b/>
                <w:sz w:val="22"/>
                <w:szCs w:val="22"/>
              </w:rPr>
              <w:t>Le Préfet de Maine-et-Loire</w:t>
            </w:r>
          </w:p>
          <w:p w14:paraId="06B2FDB3" w14:textId="77777777" w:rsidR="00FD3924" w:rsidRPr="0004646A" w:rsidRDefault="00FD3924" w:rsidP="00FD3924">
            <w:pPr>
              <w:spacing w:before="0" w:line="276" w:lineRule="auto"/>
              <w:ind w:left="139" w:firstLine="3"/>
              <w:jc w:val="center"/>
              <w:rPr>
                <w:rFonts w:cs="Times New Roman"/>
                <w:b/>
                <w:sz w:val="22"/>
                <w:szCs w:val="22"/>
              </w:rPr>
            </w:pPr>
          </w:p>
          <w:p w14:paraId="7D4A16D2" w14:textId="77777777" w:rsidR="0011511A" w:rsidRDefault="0011511A" w:rsidP="00FD3924">
            <w:pPr>
              <w:spacing w:before="0" w:line="276" w:lineRule="auto"/>
              <w:rPr>
                <w:rFonts w:ascii="Times New Roman" w:hAnsi="Times New Roman"/>
                <w:sz w:val="22"/>
                <w:szCs w:val="22"/>
              </w:rPr>
            </w:pPr>
          </w:p>
          <w:p w14:paraId="5C3A61D5" w14:textId="21B24404" w:rsidR="00CB7A21" w:rsidRPr="00CB7A21" w:rsidRDefault="00CB7A21" w:rsidP="004D7E4E">
            <w:pPr>
              <w:spacing w:before="0" w:line="276" w:lineRule="auto"/>
              <w:ind w:left="139" w:firstLine="3"/>
              <w:jc w:val="center"/>
              <w:rPr>
                <w:rFonts w:ascii="Times New Roman" w:hAnsi="Times New Roman"/>
                <w:b/>
                <w:sz w:val="22"/>
                <w:szCs w:val="22"/>
              </w:rPr>
            </w:pPr>
            <w:r w:rsidRPr="004D7E4E">
              <w:rPr>
                <w:b/>
                <w:sz w:val="22"/>
                <w:szCs w:val="22"/>
              </w:rPr>
              <w:t>Philippe CHOPIN</w:t>
            </w:r>
          </w:p>
        </w:tc>
        <w:tc>
          <w:tcPr>
            <w:tcW w:w="4678" w:type="dxa"/>
          </w:tcPr>
          <w:p w14:paraId="169B6B57" w14:textId="77777777" w:rsidR="00FD3924" w:rsidRDefault="00FD3924" w:rsidP="00D853BD">
            <w:pPr>
              <w:spacing w:before="0" w:line="276" w:lineRule="auto"/>
              <w:ind w:left="139" w:firstLine="3"/>
              <w:jc w:val="center"/>
              <w:rPr>
                <w:rFonts w:cs="Times New Roman"/>
                <w:b/>
                <w:sz w:val="22"/>
                <w:szCs w:val="22"/>
              </w:rPr>
            </w:pPr>
          </w:p>
          <w:p w14:paraId="46C80511" w14:textId="15A2837F" w:rsidR="0011511A" w:rsidRPr="0004646A" w:rsidRDefault="0011511A" w:rsidP="00D853BD">
            <w:pPr>
              <w:spacing w:before="0" w:line="276" w:lineRule="auto"/>
              <w:ind w:left="139" w:firstLine="3"/>
              <w:jc w:val="center"/>
              <w:rPr>
                <w:rFonts w:cs="Times New Roman"/>
                <w:b/>
                <w:sz w:val="22"/>
                <w:szCs w:val="22"/>
              </w:rPr>
            </w:pPr>
            <w:r w:rsidRPr="0004646A">
              <w:rPr>
                <w:rFonts w:cs="Times New Roman"/>
                <w:b/>
                <w:sz w:val="22"/>
                <w:szCs w:val="22"/>
              </w:rPr>
              <w:t>La Présidente du Département</w:t>
            </w:r>
          </w:p>
          <w:p w14:paraId="6B4CEE66" w14:textId="6B46BF00" w:rsidR="0011511A" w:rsidRPr="0004646A" w:rsidRDefault="0011511A" w:rsidP="00D853BD">
            <w:pPr>
              <w:spacing w:before="0" w:line="276" w:lineRule="auto"/>
              <w:ind w:left="139" w:firstLine="3"/>
              <w:jc w:val="center"/>
              <w:rPr>
                <w:rFonts w:cs="Times New Roman"/>
                <w:b/>
                <w:sz w:val="22"/>
                <w:szCs w:val="22"/>
              </w:rPr>
            </w:pPr>
            <w:proofErr w:type="gramStart"/>
            <w:r w:rsidRPr="0004646A">
              <w:rPr>
                <w:rFonts w:cs="Times New Roman"/>
                <w:b/>
                <w:sz w:val="22"/>
                <w:szCs w:val="22"/>
              </w:rPr>
              <w:t>de</w:t>
            </w:r>
            <w:proofErr w:type="gramEnd"/>
            <w:r w:rsidRPr="0004646A">
              <w:rPr>
                <w:rFonts w:cs="Times New Roman"/>
                <w:b/>
                <w:sz w:val="22"/>
                <w:szCs w:val="22"/>
              </w:rPr>
              <w:t xml:space="preserve"> Maine-et-Loire</w:t>
            </w:r>
          </w:p>
          <w:p w14:paraId="0162B572" w14:textId="77777777" w:rsidR="0011511A" w:rsidRPr="0004646A" w:rsidRDefault="0011511A" w:rsidP="00D853BD">
            <w:pPr>
              <w:spacing w:before="0" w:line="276" w:lineRule="auto"/>
              <w:ind w:left="139" w:firstLine="3"/>
              <w:jc w:val="center"/>
              <w:rPr>
                <w:rFonts w:cs="Times New Roman"/>
                <w:b/>
                <w:sz w:val="22"/>
                <w:szCs w:val="22"/>
              </w:rPr>
            </w:pPr>
          </w:p>
          <w:p w14:paraId="42D78997" w14:textId="77777777" w:rsidR="0011511A" w:rsidRPr="0004646A" w:rsidRDefault="0011511A" w:rsidP="00D853BD">
            <w:pPr>
              <w:spacing w:before="0" w:line="276" w:lineRule="auto"/>
              <w:ind w:left="139" w:firstLine="3"/>
              <w:jc w:val="center"/>
              <w:rPr>
                <w:b/>
                <w:sz w:val="22"/>
                <w:szCs w:val="22"/>
              </w:rPr>
            </w:pPr>
            <w:r w:rsidRPr="0004646A">
              <w:rPr>
                <w:b/>
                <w:sz w:val="22"/>
                <w:szCs w:val="22"/>
              </w:rPr>
              <w:t>Florence DABIN</w:t>
            </w:r>
          </w:p>
        </w:tc>
      </w:tr>
    </w:tbl>
    <w:p w14:paraId="6DCC0AF0" w14:textId="1EBE0A01" w:rsidR="00A83B71" w:rsidRDefault="00A83B71" w:rsidP="00D853BD">
      <w:pPr>
        <w:spacing w:before="0" w:line="276" w:lineRule="auto"/>
      </w:pPr>
    </w:p>
    <w:p w14:paraId="4C1306E3" w14:textId="0F196296" w:rsidR="0011511A" w:rsidRDefault="0011511A" w:rsidP="00D853BD">
      <w:pPr>
        <w:spacing w:before="0" w:line="276" w:lineRule="auto"/>
        <w:sectPr w:rsidR="0011511A" w:rsidSect="0002134F">
          <w:headerReference w:type="default" r:id="rId18"/>
          <w:footerReference w:type="default" r:id="rId19"/>
          <w:headerReference w:type="first" r:id="rId20"/>
          <w:footerReference w:type="first" r:id="rId21"/>
          <w:pgSz w:w="11900" w:h="16840"/>
          <w:pgMar w:top="1417" w:right="1417" w:bottom="1417" w:left="1417" w:header="708" w:footer="0" w:gutter="0"/>
          <w:pgNumType w:start="1"/>
          <w:cols w:space="708"/>
          <w:docGrid w:linePitch="360"/>
        </w:sectPr>
      </w:pPr>
    </w:p>
    <w:p w14:paraId="6F4080D8" w14:textId="77777777" w:rsidR="00661A0A" w:rsidRDefault="00661A0A" w:rsidP="00D853BD">
      <w:pPr>
        <w:spacing w:before="0" w:line="276" w:lineRule="auto"/>
        <w:jc w:val="center"/>
      </w:pPr>
    </w:p>
    <w:p w14:paraId="189BDDED" w14:textId="77777777" w:rsidR="00661A0A" w:rsidRPr="00571633" w:rsidRDefault="00661A0A" w:rsidP="00D853BD">
      <w:pPr>
        <w:spacing w:before="0" w:line="276" w:lineRule="auto"/>
        <w:jc w:val="center"/>
      </w:pPr>
    </w:p>
    <w:p w14:paraId="2E9D7F87" w14:textId="77777777" w:rsidR="00661A0A" w:rsidRPr="00571633" w:rsidRDefault="00661A0A" w:rsidP="00D853BD">
      <w:pPr>
        <w:spacing w:before="0" w:line="276" w:lineRule="auto"/>
        <w:jc w:val="center"/>
      </w:pPr>
    </w:p>
    <w:p w14:paraId="6B321AE2" w14:textId="77777777" w:rsidR="00661A0A" w:rsidRPr="00571633" w:rsidRDefault="00661A0A" w:rsidP="00D853BD">
      <w:pPr>
        <w:spacing w:before="0" w:line="276" w:lineRule="auto"/>
        <w:jc w:val="center"/>
      </w:pPr>
    </w:p>
    <w:p w14:paraId="7C3E3CD2" w14:textId="77777777" w:rsidR="00661A0A" w:rsidRDefault="00661A0A" w:rsidP="00D853BD">
      <w:pPr>
        <w:tabs>
          <w:tab w:val="left" w:pos="5780"/>
        </w:tabs>
        <w:spacing w:before="0" w:line="276" w:lineRule="auto"/>
        <w:jc w:val="center"/>
      </w:pPr>
    </w:p>
    <w:p w14:paraId="7AB033B4" w14:textId="77777777" w:rsidR="00661A0A" w:rsidRDefault="00661A0A" w:rsidP="00D853BD">
      <w:pPr>
        <w:tabs>
          <w:tab w:val="left" w:pos="5780"/>
        </w:tabs>
        <w:spacing w:before="0" w:line="276" w:lineRule="auto"/>
        <w:jc w:val="center"/>
      </w:pPr>
    </w:p>
    <w:p w14:paraId="54BC847D" w14:textId="77777777" w:rsidR="00661A0A" w:rsidRDefault="00661A0A" w:rsidP="00D853BD">
      <w:pPr>
        <w:tabs>
          <w:tab w:val="left" w:pos="5780"/>
        </w:tabs>
        <w:spacing w:before="0" w:line="276" w:lineRule="auto"/>
        <w:jc w:val="center"/>
      </w:pPr>
    </w:p>
    <w:p w14:paraId="5F33923D" w14:textId="77777777" w:rsidR="00661A0A" w:rsidRDefault="00661A0A" w:rsidP="00D853BD">
      <w:pPr>
        <w:tabs>
          <w:tab w:val="left" w:pos="5780"/>
        </w:tabs>
        <w:spacing w:before="0" w:line="276" w:lineRule="auto"/>
        <w:jc w:val="center"/>
      </w:pPr>
    </w:p>
    <w:p w14:paraId="587E1E67" w14:textId="77777777" w:rsidR="00661A0A" w:rsidRDefault="00661A0A" w:rsidP="00D853BD">
      <w:pPr>
        <w:tabs>
          <w:tab w:val="left" w:pos="5780"/>
        </w:tabs>
        <w:spacing w:before="0" w:line="276" w:lineRule="auto"/>
        <w:jc w:val="center"/>
      </w:pPr>
    </w:p>
    <w:p w14:paraId="79613300" w14:textId="77777777" w:rsidR="00661A0A" w:rsidRDefault="00661A0A" w:rsidP="00D853BD">
      <w:pPr>
        <w:tabs>
          <w:tab w:val="left" w:pos="5780"/>
        </w:tabs>
        <w:spacing w:before="0" w:line="276" w:lineRule="auto"/>
        <w:jc w:val="center"/>
      </w:pPr>
    </w:p>
    <w:p w14:paraId="20EE822F" w14:textId="77777777" w:rsidR="00661A0A" w:rsidRDefault="00661A0A" w:rsidP="00D853BD">
      <w:pPr>
        <w:tabs>
          <w:tab w:val="left" w:pos="5780"/>
        </w:tabs>
        <w:spacing w:before="0" w:line="276" w:lineRule="auto"/>
        <w:jc w:val="center"/>
      </w:pPr>
    </w:p>
    <w:p w14:paraId="79051039" w14:textId="77777777" w:rsidR="00661A0A" w:rsidRDefault="00661A0A" w:rsidP="00D853BD">
      <w:pPr>
        <w:tabs>
          <w:tab w:val="left" w:pos="5780"/>
        </w:tabs>
        <w:spacing w:before="0" w:line="276" w:lineRule="auto"/>
        <w:jc w:val="center"/>
      </w:pPr>
    </w:p>
    <w:p w14:paraId="524C6207" w14:textId="77777777" w:rsidR="00661A0A" w:rsidRDefault="00661A0A" w:rsidP="00D853BD">
      <w:pPr>
        <w:tabs>
          <w:tab w:val="left" w:pos="5780"/>
        </w:tabs>
        <w:spacing w:before="0" w:line="276" w:lineRule="auto"/>
        <w:jc w:val="center"/>
      </w:pPr>
    </w:p>
    <w:p w14:paraId="5759822E" w14:textId="77777777" w:rsidR="00661A0A" w:rsidRDefault="00661A0A" w:rsidP="00D853BD">
      <w:pPr>
        <w:tabs>
          <w:tab w:val="left" w:pos="5780"/>
        </w:tabs>
        <w:spacing w:before="0" w:line="276" w:lineRule="auto"/>
        <w:jc w:val="center"/>
      </w:pPr>
    </w:p>
    <w:p w14:paraId="1FE3FE2C" w14:textId="77777777" w:rsidR="00661A0A" w:rsidRDefault="00661A0A" w:rsidP="00D853BD">
      <w:pPr>
        <w:tabs>
          <w:tab w:val="left" w:pos="5780"/>
        </w:tabs>
        <w:spacing w:before="0" w:line="276" w:lineRule="auto"/>
        <w:jc w:val="center"/>
      </w:pPr>
    </w:p>
    <w:p w14:paraId="089AA133" w14:textId="77777777" w:rsidR="00661A0A" w:rsidRDefault="00661A0A" w:rsidP="00D853BD">
      <w:pPr>
        <w:tabs>
          <w:tab w:val="left" w:pos="5780"/>
        </w:tabs>
        <w:spacing w:before="0" w:line="276" w:lineRule="auto"/>
        <w:jc w:val="center"/>
      </w:pPr>
    </w:p>
    <w:p w14:paraId="2F26D262" w14:textId="77777777" w:rsidR="00661A0A" w:rsidRDefault="00661A0A" w:rsidP="00D853BD">
      <w:pPr>
        <w:tabs>
          <w:tab w:val="left" w:pos="5780"/>
        </w:tabs>
        <w:spacing w:before="0" w:line="276" w:lineRule="auto"/>
        <w:jc w:val="center"/>
      </w:pPr>
    </w:p>
    <w:p w14:paraId="7F61BD8F" w14:textId="77777777" w:rsidR="00661A0A" w:rsidRDefault="00661A0A" w:rsidP="00D853BD">
      <w:pPr>
        <w:tabs>
          <w:tab w:val="left" w:pos="5780"/>
        </w:tabs>
        <w:spacing w:before="0" w:line="276" w:lineRule="auto"/>
        <w:jc w:val="center"/>
      </w:pPr>
    </w:p>
    <w:p w14:paraId="0F63E958" w14:textId="77777777" w:rsidR="00661A0A" w:rsidRPr="00571633" w:rsidRDefault="00661A0A" w:rsidP="00D853BD">
      <w:pPr>
        <w:tabs>
          <w:tab w:val="left" w:pos="5780"/>
        </w:tabs>
        <w:spacing w:before="0" w:line="276" w:lineRule="auto"/>
        <w:jc w:val="center"/>
      </w:pPr>
    </w:p>
    <w:p w14:paraId="106F2C93" w14:textId="5B2DD6E6" w:rsidR="008268C1" w:rsidRPr="008268C1" w:rsidRDefault="008268C1" w:rsidP="00D853BD">
      <w:pPr>
        <w:spacing w:before="0" w:line="276" w:lineRule="auto"/>
      </w:pPr>
    </w:p>
    <w:sectPr w:rsidR="008268C1" w:rsidRPr="008268C1" w:rsidSect="0002134F">
      <w:headerReference w:type="default" r:id="rId22"/>
      <w:footerReference w:type="default" r:id="rId23"/>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AD77C" w14:textId="77777777" w:rsidR="00E25927" w:rsidRDefault="00E25927" w:rsidP="007835D7">
      <w:r>
        <w:separator/>
      </w:r>
    </w:p>
  </w:endnote>
  <w:endnote w:type="continuationSeparator" w:id="0">
    <w:p w14:paraId="72540095" w14:textId="77777777" w:rsidR="00E25927" w:rsidRDefault="00E25927"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1F11" w14:textId="77777777" w:rsidR="006B1EE7" w:rsidRDefault="006B1EE7"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6B1EE7" w:rsidRDefault="006B1EE7"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230A" w14:textId="02BA891E" w:rsidR="006B1EE7" w:rsidRDefault="006B1EE7" w:rsidP="005D5E9C">
    <w:pPr>
      <w:pStyle w:val="Pieddepage"/>
      <w:framePr w:wrap="none" w:vAnchor="text" w:hAnchor="margin" w:xAlign="right" w:y="1"/>
      <w:rPr>
        <w:rStyle w:val="Numrodepage"/>
      </w:rPr>
    </w:pPr>
  </w:p>
  <w:p w14:paraId="7C0E1EEE" w14:textId="77777777" w:rsidR="006B1EE7" w:rsidRDefault="006B1EE7" w:rsidP="005D5E9C">
    <w:pPr>
      <w:pStyle w:val="Pieddepage"/>
      <w:ind w:right="360"/>
    </w:pPr>
  </w:p>
  <w:p w14:paraId="459F461B" w14:textId="77777777" w:rsidR="006B1EE7" w:rsidRDefault="006B1EE7"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2195" w14:textId="77777777" w:rsidR="006B1EE7" w:rsidRDefault="006B1EE7" w:rsidP="006B1EE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1A86A93" w14:textId="77777777" w:rsidR="006B1EE7" w:rsidRDefault="006B1EE7"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6E8E" w14:textId="684965AE" w:rsidR="006B1EE7" w:rsidRDefault="006B1EE7" w:rsidP="006B1EE7">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C0F5D">
      <w:rPr>
        <w:rStyle w:val="Numrodepage"/>
        <w:noProof/>
      </w:rPr>
      <w:t>10</w:t>
    </w:r>
    <w:r>
      <w:rPr>
        <w:rStyle w:val="Numrodepage"/>
      </w:rPr>
      <w:fldChar w:fldCharType="end"/>
    </w:r>
  </w:p>
  <w:p w14:paraId="2242B736" w14:textId="77777777" w:rsidR="006B1EE7" w:rsidRDefault="006B1EE7" w:rsidP="005D5E9C">
    <w:pPr>
      <w:pStyle w:val="Pieddepage"/>
      <w:framePr w:wrap="none" w:vAnchor="text" w:hAnchor="margin" w:xAlign="right" w:y="1"/>
      <w:rPr>
        <w:rStyle w:val="Numrodepage"/>
      </w:rPr>
    </w:pPr>
  </w:p>
  <w:p w14:paraId="747B6496" w14:textId="77777777" w:rsidR="006B1EE7" w:rsidRDefault="006B1EE7" w:rsidP="005D5E9C">
    <w:pPr>
      <w:pStyle w:val="Pieddepage"/>
      <w:ind w:right="360"/>
    </w:pPr>
  </w:p>
  <w:p w14:paraId="3CCEC3C1" w14:textId="77777777" w:rsidR="006B1EE7" w:rsidRDefault="006B1EE7"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3898" w14:textId="77777777" w:rsidR="006B1EE7" w:rsidRDefault="006B1EE7" w:rsidP="006B1EE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6B1EE7" w:rsidRDefault="006B1EE7"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7DEF" w14:textId="12AD8723" w:rsidR="006B1EE7" w:rsidRDefault="006B1EE7"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6B1EE7" w:rsidRDefault="006B1EE7"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43DE2" w14:textId="77777777" w:rsidR="00E25927" w:rsidRDefault="00E25927" w:rsidP="007835D7">
      <w:r>
        <w:separator/>
      </w:r>
    </w:p>
  </w:footnote>
  <w:footnote w:type="continuationSeparator" w:id="0">
    <w:p w14:paraId="6C981B6F" w14:textId="77777777" w:rsidR="00E25927" w:rsidRDefault="00E25927" w:rsidP="0078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ED1FD" w14:textId="5EE306EE" w:rsidR="006B1EE7" w:rsidRDefault="006B1EE7">
    <w:pPr>
      <w:pStyle w:val="En-tte"/>
    </w:pPr>
    <w:r>
      <w:rPr>
        <w:noProof/>
        <w:lang w:eastAsia="fr-FR"/>
      </w:rPr>
      <w:drawing>
        <wp:anchor distT="0" distB="0" distL="114300" distR="114300" simplePos="0" relativeHeight="251662335" behindDoc="1" locked="0" layoutInCell="1" allowOverlap="1" wp14:anchorId="27A873B5" wp14:editId="2931FB00">
          <wp:simplePos x="0" y="0"/>
          <wp:positionH relativeFrom="page">
            <wp:posOffset>0</wp:posOffset>
          </wp:positionH>
          <wp:positionV relativeFrom="page">
            <wp:posOffset>0</wp:posOffset>
          </wp:positionV>
          <wp:extent cx="7559675"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BCAF" w14:textId="5DFC2912" w:rsidR="006B1EE7" w:rsidRDefault="006B1E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BC3D" w14:textId="77777777" w:rsidR="006B1EE7" w:rsidRDefault="006B1EE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9259" w14:textId="535F863C" w:rsidR="006B1EE7" w:rsidRDefault="006B1EE7">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61F"/>
    <w:multiLevelType w:val="multilevel"/>
    <w:tmpl w:val="F6A00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F7C42"/>
    <w:multiLevelType w:val="hybridMultilevel"/>
    <w:tmpl w:val="71CADB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7243C"/>
    <w:multiLevelType w:val="hybridMultilevel"/>
    <w:tmpl w:val="D63689EA"/>
    <w:lvl w:ilvl="0" w:tplc="5F00F88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BB66D9"/>
    <w:multiLevelType w:val="hybridMultilevel"/>
    <w:tmpl w:val="A61E4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9A244B"/>
    <w:multiLevelType w:val="hybridMultilevel"/>
    <w:tmpl w:val="02C4804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1A4B6DB7"/>
    <w:multiLevelType w:val="hybridMultilevel"/>
    <w:tmpl w:val="482AE6FE"/>
    <w:lvl w:ilvl="0" w:tplc="3AA416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B2D3532"/>
    <w:multiLevelType w:val="hybridMultilevel"/>
    <w:tmpl w:val="1592F6C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3790676"/>
    <w:multiLevelType w:val="hybridMultilevel"/>
    <w:tmpl w:val="069E37BE"/>
    <w:lvl w:ilvl="0" w:tplc="040C0003">
      <w:start w:val="1"/>
      <w:numFmt w:val="bullet"/>
      <w:lvlText w:val="o"/>
      <w:lvlJc w:val="left"/>
      <w:pPr>
        <w:ind w:left="1068" w:hanging="360"/>
      </w:pPr>
      <w:rPr>
        <w:rFonts w:ascii="Courier New" w:hAnsi="Courier New" w:cs="Courier New"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25B01BD5"/>
    <w:multiLevelType w:val="hybridMultilevel"/>
    <w:tmpl w:val="F12A8E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A42331"/>
    <w:multiLevelType w:val="hybridMultilevel"/>
    <w:tmpl w:val="9E3AA4A2"/>
    <w:lvl w:ilvl="0" w:tplc="53BA79B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0C2B47"/>
    <w:multiLevelType w:val="hybridMultilevel"/>
    <w:tmpl w:val="F89062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522F54"/>
    <w:multiLevelType w:val="hybridMultilevel"/>
    <w:tmpl w:val="C57E2EF2"/>
    <w:lvl w:ilvl="0" w:tplc="173EEF7A">
      <w:start w:val="49"/>
      <w:numFmt w:val="bullet"/>
      <w:lvlText w:val="-"/>
      <w:lvlJc w:val="left"/>
      <w:pPr>
        <w:ind w:left="720" w:hanging="360"/>
      </w:pPr>
      <w:rPr>
        <w:rFonts w:ascii="Century Gothic" w:eastAsiaTheme="minorHAns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C44A91"/>
    <w:multiLevelType w:val="hybridMultilevel"/>
    <w:tmpl w:val="8A8EF9AE"/>
    <w:lvl w:ilvl="0" w:tplc="C840F10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475CF2"/>
    <w:multiLevelType w:val="hybridMultilevel"/>
    <w:tmpl w:val="04207D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713FCC"/>
    <w:multiLevelType w:val="hybridMultilevel"/>
    <w:tmpl w:val="2410E19C"/>
    <w:lvl w:ilvl="0" w:tplc="6BBECDD0">
      <w:start w:val="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3F589A"/>
    <w:multiLevelType w:val="hybridMultilevel"/>
    <w:tmpl w:val="698E0E00"/>
    <w:lvl w:ilvl="0" w:tplc="AC909AF0">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2D0687"/>
    <w:multiLevelType w:val="hybridMultilevel"/>
    <w:tmpl w:val="5A60A0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BC1DAC"/>
    <w:multiLevelType w:val="hybridMultilevel"/>
    <w:tmpl w:val="0F12A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8F01E1"/>
    <w:multiLevelType w:val="hybridMultilevel"/>
    <w:tmpl w:val="957EA3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14"/>
  </w:num>
  <w:num w:numId="5">
    <w:abstractNumId w:val="17"/>
  </w:num>
  <w:num w:numId="6">
    <w:abstractNumId w:val="11"/>
  </w:num>
  <w:num w:numId="7">
    <w:abstractNumId w:val="0"/>
  </w:num>
  <w:num w:numId="8">
    <w:abstractNumId w:val="3"/>
  </w:num>
  <w:num w:numId="9">
    <w:abstractNumId w:val="16"/>
  </w:num>
  <w:num w:numId="10">
    <w:abstractNumId w:val="8"/>
  </w:num>
  <w:num w:numId="11">
    <w:abstractNumId w:val="12"/>
  </w:num>
  <w:num w:numId="12">
    <w:abstractNumId w:val="10"/>
  </w:num>
  <w:num w:numId="13">
    <w:abstractNumId w:val="4"/>
  </w:num>
  <w:num w:numId="14">
    <w:abstractNumId w:val="1"/>
  </w:num>
  <w:num w:numId="15">
    <w:abstractNumId w:val="13"/>
  </w:num>
  <w:num w:numId="16">
    <w:abstractNumId w:val="18"/>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3A"/>
    <w:rsid w:val="00015F09"/>
    <w:rsid w:val="00017BC8"/>
    <w:rsid w:val="0002134F"/>
    <w:rsid w:val="000253CD"/>
    <w:rsid w:val="0004646A"/>
    <w:rsid w:val="00055E96"/>
    <w:rsid w:val="00097CC3"/>
    <w:rsid w:val="000C5CC3"/>
    <w:rsid w:val="000F3D97"/>
    <w:rsid w:val="00112A53"/>
    <w:rsid w:val="0011511A"/>
    <w:rsid w:val="00115507"/>
    <w:rsid w:val="00131AFD"/>
    <w:rsid w:val="001405C2"/>
    <w:rsid w:val="00155F24"/>
    <w:rsid w:val="001640FB"/>
    <w:rsid w:val="00164C84"/>
    <w:rsid w:val="00187D2B"/>
    <w:rsid w:val="001942F0"/>
    <w:rsid w:val="001A73A6"/>
    <w:rsid w:val="001E42E4"/>
    <w:rsid w:val="002130A1"/>
    <w:rsid w:val="00255CF3"/>
    <w:rsid w:val="002A2FDE"/>
    <w:rsid w:val="002C2A56"/>
    <w:rsid w:val="002C795D"/>
    <w:rsid w:val="00342D45"/>
    <w:rsid w:val="00356500"/>
    <w:rsid w:val="00361808"/>
    <w:rsid w:val="00362091"/>
    <w:rsid w:val="00374E6A"/>
    <w:rsid w:val="00386A6D"/>
    <w:rsid w:val="003B6797"/>
    <w:rsid w:val="003C6E53"/>
    <w:rsid w:val="003D15EA"/>
    <w:rsid w:val="004069E6"/>
    <w:rsid w:val="004237E8"/>
    <w:rsid w:val="00433350"/>
    <w:rsid w:val="004456BD"/>
    <w:rsid w:val="0045515A"/>
    <w:rsid w:val="00475ECB"/>
    <w:rsid w:val="00490473"/>
    <w:rsid w:val="00491B7A"/>
    <w:rsid w:val="004A2B83"/>
    <w:rsid w:val="004D549B"/>
    <w:rsid w:val="004D554E"/>
    <w:rsid w:val="004D78B0"/>
    <w:rsid w:val="004D7E4E"/>
    <w:rsid w:val="005326DF"/>
    <w:rsid w:val="00565F8E"/>
    <w:rsid w:val="00584D91"/>
    <w:rsid w:val="00586181"/>
    <w:rsid w:val="005B1E52"/>
    <w:rsid w:val="005C0F5D"/>
    <w:rsid w:val="005D5DEB"/>
    <w:rsid w:val="005D5E9C"/>
    <w:rsid w:val="005E0E89"/>
    <w:rsid w:val="005F437A"/>
    <w:rsid w:val="00604029"/>
    <w:rsid w:val="0060433A"/>
    <w:rsid w:val="00661A0A"/>
    <w:rsid w:val="0067014E"/>
    <w:rsid w:val="00675075"/>
    <w:rsid w:val="00675804"/>
    <w:rsid w:val="00676F9E"/>
    <w:rsid w:val="006B1C16"/>
    <w:rsid w:val="006B1EE7"/>
    <w:rsid w:val="006B5EF1"/>
    <w:rsid w:val="006D3D09"/>
    <w:rsid w:val="006E04AA"/>
    <w:rsid w:val="006E32F4"/>
    <w:rsid w:val="006E4CCB"/>
    <w:rsid w:val="006F2359"/>
    <w:rsid w:val="00746CFF"/>
    <w:rsid w:val="00747029"/>
    <w:rsid w:val="007835D7"/>
    <w:rsid w:val="00790EEA"/>
    <w:rsid w:val="007B56D3"/>
    <w:rsid w:val="007F5C9F"/>
    <w:rsid w:val="008009A4"/>
    <w:rsid w:val="0080152D"/>
    <w:rsid w:val="0080413A"/>
    <w:rsid w:val="00806658"/>
    <w:rsid w:val="008158FA"/>
    <w:rsid w:val="008268C1"/>
    <w:rsid w:val="0083377E"/>
    <w:rsid w:val="00851D20"/>
    <w:rsid w:val="00881B7C"/>
    <w:rsid w:val="008A4D93"/>
    <w:rsid w:val="008C1E84"/>
    <w:rsid w:val="008C2C02"/>
    <w:rsid w:val="008E0788"/>
    <w:rsid w:val="00932E9F"/>
    <w:rsid w:val="00964676"/>
    <w:rsid w:val="00985338"/>
    <w:rsid w:val="009B4C73"/>
    <w:rsid w:val="009C3427"/>
    <w:rsid w:val="009D6C83"/>
    <w:rsid w:val="009E10ED"/>
    <w:rsid w:val="009E4639"/>
    <w:rsid w:val="009E77F0"/>
    <w:rsid w:val="009F15CA"/>
    <w:rsid w:val="00A204DD"/>
    <w:rsid w:val="00A34124"/>
    <w:rsid w:val="00A444BA"/>
    <w:rsid w:val="00A7276C"/>
    <w:rsid w:val="00A83B71"/>
    <w:rsid w:val="00AA38B4"/>
    <w:rsid w:val="00AB5D60"/>
    <w:rsid w:val="00AB662B"/>
    <w:rsid w:val="00AC361B"/>
    <w:rsid w:val="00AD3C1A"/>
    <w:rsid w:val="00B10986"/>
    <w:rsid w:val="00B25358"/>
    <w:rsid w:val="00B312FF"/>
    <w:rsid w:val="00B370A5"/>
    <w:rsid w:val="00B653BE"/>
    <w:rsid w:val="00B841DE"/>
    <w:rsid w:val="00B93155"/>
    <w:rsid w:val="00BB1D70"/>
    <w:rsid w:val="00BC7355"/>
    <w:rsid w:val="00BD729B"/>
    <w:rsid w:val="00BE5D63"/>
    <w:rsid w:val="00C07F0C"/>
    <w:rsid w:val="00C13889"/>
    <w:rsid w:val="00C16B0B"/>
    <w:rsid w:val="00C222E9"/>
    <w:rsid w:val="00C27236"/>
    <w:rsid w:val="00C31098"/>
    <w:rsid w:val="00C52CB5"/>
    <w:rsid w:val="00C5780C"/>
    <w:rsid w:val="00C67399"/>
    <w:rsid w:val="00CA7693"/>
    <w:rsid w:val="00CB7A21"/>
    <w:rsid w:val="00CC4495"/>
    <w:rsid w:val="00CD615B"/>
    <w:rsid w:val="00CF25E0"/>
    <w:rsid w:val="00D210BD"/>
    <w:rsid w:val="00D47043"/>
    <w:rsid w:val="00D853BD"/>
    <w:rsid w:val="00DB4254"/>
    <w:rsid w:val="00DC3BF6"/>
    <w:rsid w:val="00DE0D11"/>
    <w:rsid w:val="00DF2CB0"/>
    <w:rsid w:val="00E01850"/>
    <w:rsid w:val="00E25927"/>
    <w:rsid w:val="00E51C8E"/>
    <w:rsid w:val="00E60274"/>
    <w:rsid w:val="00E622B4"/>
    <w:rsid w:val="00E62C3A"/>
    <w:rsid w:val="00E83888"/>
    <w:rsid w:val="00E86CDF"/>
    <w:rsid w:val="00E9297A"/>
    <w:rsid w:val="00EB68A0"/>
    <w:rsid w:val="00EC1EE4"/>
    <w:rsid w:val="00EF2F87"/>
    <w:rsid w:val="00F36363"/>
    <w:rsid w:val="00F47B01"/>
    <w:rsid w:val="00F47B3B"/>
    <w:rsid w:val="00F55984"/>
    <w:rsid w:val="00F800F7"/>
    <w:rsid w:val="00F824A1"/>
    <w:rsid w:val="00F8303E"/>
    <w:rsid w:val="00FB13CA"/>
    <w:rsid w:val="00FD3924"/>
    <w:rsid w:val="00FD66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8EBC2"/>
  <w14:defaultImageDpi w14:val="32767"/>
  <w15:chartTrackingRefBased/>
  <w15:docId w15:val="{49616259-AB08-4935-A9A2-9AF14A71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C1"/>
    <w:pPr>
      <w:spacing w:before="24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before="120"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9F15CA"/>
    <w:pPr>
      <w:pBdr>
        <w:top w:val="single" w:sz="4" w:space="10" w:color="1E22AE" w:themeColor="accent1"/>
        <w:bottom w:val="single" w:sz="4" w:space="10" w:color="1E22AE" w:themeColor="accent1"/>
      </w:pBdr>
      <w:spacing w:before="360" w:after="360"/>
      <w:ind w:left="864" w:right="864"/>
      <w:jc w:val="center"/>
    </w:pPr>
    <w:rPr>
      <w:i/>
      <w:iCs/>
      <w:color w:val="1E22AE" w:themeColor="accent1"/>
    </w:rPr>
  </w:style>
  <w:style w:type="character" w:customStyle="1" w:styleId="CitationintenseCar">
    <w:name w:val="Citation intense Car"/>
    <w:basedOn w:val="Policepardfaut"/>
    <w:link w:val="Citationintense"/>
    <w:uiPriority w:val="30"/>
    <w:rsid w:val="009F15CA"/>
    <w:rPr>
      <w:i/>
      <w:iCs/>
      <w:color w:val="1E22AE" w:themeColor="accent1"/>
      <w:sz w:val="21"/>
    </w:rPr>
  </w:style>
  <w:style w:type="character" w:styleId="Emphasepl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C16B0B"/>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C16B0B"/>
    <w:rPr>
      <w:rFonts w:eastAsiaTheme="minorEastAsia"/>
      <w:sz w:val="22"/>
      <w:szCs w:val="22"/>
      <w:lang w:val="en-US" w:eastAsia="zh-CN"/>
    </w:rPr>
  </w:style>
  <w:style w:type="paragraph" w:styleId="Notedebasdepage">
    <w:name w:val="footnote text"/>
    <w:basedOn w:val="Normal"/>
    <w:link w:val="NotedebasdepageCar"/>
    <w:uiPriority w:val="99"/>
    <w:semiHidden/>
    <w:unhideWhenUsed/>
    <w:rsid w:val="0011511A"/>
    <w:pPr>
      <w:spacing w:before="0"/>
    </w:pPr>
    <w:rPr>
      <w:sz w:val="20"/>
      <w:szCs w:val="20"/>
    </w:rPr>
  </w:style>
  <w:style w:type="character" w:customStyle="1" w:styleId="NotedebasdepageCar">
    <w:name w:val="Note de bas de page Car"/>
    <w:basedOn w:val="Policepardfaut"/>
    <w:link w:val="Notedebasdepage"/>
    <w:uiPriority w:val="99"/>
    <w:semiHidden/>
    <w:rsid w:val="0011511A"/>
    <w:rPr>
      <w:sz w:val="20"/>
      <w:szCs w:val="20"/>
    </w:rPr>
  </w:style>
  <w:style w:type="character" w:styleId="Appelnotedebasdep">
    <w:name w:val="footnote reference"/>
    <w:basedOn w:val="Policepardfaut"/>
    <w:uiPriority w:val="99"/>
    <w:semiHidden/>
    <w:unhideWhenUsed/>
    <w:rsid w:val="0011511A"/>
    <w:rPr>
      <w:vertAlign w:val="superscript"/>
    </w:rPr>
  </w:style>
  <w:style w:type="character" w:styleId="Marquedecommentaire">
    <w:name w:val="annotation reference"/>
    <w:basedOn w:val="Policepardfaut"/>
    <w:uiPriority w:val="99"/>
    <w:semiHidden/>
    <w:unhideWhenUsed/>
    <w:rsid w:val="0011511A"/>
    <w:rPr>
      <w:sz w:val="16"/>
      <w:szCs w:val="16"/>
    </w:rPr>
  </w:style>
  <w:style w:type="paragraph" w:styleId="Commentaire">
    <w:name w:val="annotation text"/>
    <w:basedOn w:val="Normal"/>
    <w:link w:val="CommentaireCar"/>
    <w:uiPriority w:val="99"/>
    <w:semiHidden/>
    <w:unhideWhenUsed/>
    <w:rsid w:val="0011511A"/>
    <w:pPr>
      <w:spacing w:before="0" w:after="160"/>
    </w:pPr>
    <w:rPr>
      <w:sz w:val="20"/>
      <w:szCs w:val="20"/>
    </w:rPr>
  </w:style>
  <w:style w:type="character" w:customStyle="1" w:styleId="CommentaireCar">
    <w:name w:val="Commentaire Car"/>
    <w:basedOn w:val="Policepardfaut"/>
    <w:link w:val="Commentaire"/>
    <w:uiPriority w:val="99"/>
    <w:semiHidden/>
    <w:rsid w:val="0011511A"/>
    <w:rPr>
      <w:sz w:val="20"/>
      <w:szCs w:val="20"/>
    </w:rPr>
  </w:style>
  <w:style w:type="paragraph" w:styleId="Textedebulles">
    <w:name w:val="Balloon Text"/>
    <w:basedOn w:val="Normal"/>
    <w:link w:val="TextedebullesCar"/>
    <w:uiPriority w:val="99"/>
    <w:semiHidden/>
    <w:unhideWhenUsed/>
    <w:rsid w:val="0011511A"/>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511A"/>
    <w:rPr>
      <w:rFonts w:ascii="Segoe UI" w:hAnsi="Segoe UI" w:cs="Segoe UI"/>
      <w:sz w:val="18"/>
      <w:szCs w:val="18"/>
    </w:rPr>
  </w:style>
  <w:style w:type="paragraph" w:styleId="Paragraphedeliste">
    <w:name w:val="List Paragraph"/>
    <w:basedOn w:val="Normal"/>
    <w:uiPriority w:val="34"/>
    <w:qFormat/>
    <w:rsid w:val="0011511A"/>
    <w:pPr>
      <w:spacing w:before="0" w:after="160" w:line="259" w:lineRule="auto"/>
      <w:ind w:left="720"/>
      <w:contextualSpacing/>
    </w:pPr>
    <w:rPr>
      <w:sz w:val="22"/>
      <w:szCs w:val="22"/>
    </w:rPr>
  </w:style>
  <w:style w:type="character" w:styleId="Lienhypertexte">
    <w:name w:val="Hyperlink"/>
    <w:basedOn w:val="Policepardfaut"/>
    <w:uiPriority w:val="99"/>
    <w:unhideWhenUsed/>
    <w:rsid w:val="0011511A"/>
    <w:rPr>
      <w:color w:val="0000FF"/>
      <w:u w:val="single"/>
    </w:rPr>
  </w:style>
  <w:style w:type="paragraph" w:styleId="En-ttedetabledesmatires">
    <w:name w:val="TOC Heading"/>
    <w:basedOn w:val="Titre1"/>
    <w:next w:val="Normal"/>
    <w:uiPriority w:val="39"/>
    <w:unhideWhenUsed/>
    <w:qFormat/>
    <w:rsid w:val="00A83B71"/>
    <w:pPr>
      <w:spacing w:after="0" w:line="259" w:lineRule="auto"/>
      <w:outlineLvl w:val="9"/>
    </w:pPr>
    <w:rPr>
      <w:b w:val="0"/>
      <w:color w:val="161982" w:themeColor="accent1" w:themeShade="BF"/>
      <w:sz w:val="32"/>
      <w:lang w:eastAsia="fr-FR"/>
    </w:rPr>
  </w:style>
  <w:style w:type="paragraph" w:styleId="TM1">
    <w:name w:val="toc 1"/>
    <w:basedOn w:val="Normal"/>
    <w:next w:val="Normal"/>
    <w:autoRedefine/>
    <w:uiPriority w:val="39"/>
    <w:unhideWhenUsed/>
    <w:rsid w:val="00A83B71"/>
    <w:pPr>
      <w:spacing w:after="100"/>
    </w:pPr>
  </w:style>
  <w:style w:type="paragraph" w:styleId="TM2">
    <w:name w:val="toc 2"/>
    <w:basedOn w:val="Normal"/>
    <w:next w:val="Normal"/>
    <w:autoRedefine/>
    <w:uiPriority w:val="39"/>
    <w:unhideWhenUsed/>
    <w:rsid w:val="00A83B71"/>
    <w:pPr>
      <w:spacing w:after="100"/>
      <w:ind w:left="210"/>
    </w:pPr>
  </w:style>
  <w:style w:type="paragraph" w:styleId="Objetducommentaire">
    <w:name w:val="annotation subject"/>
    <w:basedOn w:val="Commentaire"/>
    <w:next w:val="Commentaire"/>
    <w:link w:val="ObjetducommentaireCar"/>
    <w:uiPriority w:val="99"/>
    <w:semiHidden/>
    <w:unhideWhenUsed/>
    <w:rsid w:val="0067014E"/>
    <w:pPr>
      <w:spacing w:before="240" w:after="0"/>
    </w:pPr>
    <w:rPr>
      <w:b/>
      <w:bCs/>
    </w:rPr>
  </w:style>
  <w:style w:type="character" w:customStyle="1" w:styleId="ObjetducommentaireCar">
    <w:name w:val="Objet du commentaire Car"/>
    <w:basedOn w:val="CommentaireCar"/>
    <w:link w:val="Objetducommentaire"/>
    <w:uiPriority w:val="99"/>
    <w:semiHidden/>
    <w:rsid w:val="0067014E"/>
    <w:rPr>
      <w:b/>
      <w:bCs/>
      <w:sz w:val="20"/>
      <w:szCs w:val="20"/>
    </w:rPr>
  </w:style>
  <w:style w:type="table" w:styleId="Grilledutableau">
    <w:name w:val="Table Grid"/>
    <w:basedOn w:val="TableauNormal"/>
    <w:uiPriority w:val="39"/>
    <w:rsid w:val="00806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24"/>
    <w:pPr>
      <w:autoSpaceDE w:val="0"/>
      <w:autoSpaceDN w:val="0"/>
      <w:adjustRightInd w:val="0"/>
    </w:pPr>
    <w:rPr>
      <w:rFonts w:ascii="Arial" w:hAnsi="Arial" w:cs="Arial"/>
      <w:color w:val="000000"/>
    </w:rPr>
  </w:style>
  <w:style w:type="table" w:customStyle="1" w:styleId="TableNormal">
    <w:name w:val="Table Normal"/>
    <w:uiPriority w:val="2"/>
    <w:semiHidden/>
    <w:unhideWhenUsed/>
    <w:qFormat/>
    <w:rsid w:val="006B1EE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1EE7"/>
    <w:pPr>
      <w:widowControl w:val="0"/>
      <w:autoSpaceDE w:val="0"/>
      <w:autoSpaceDN w:val="0"/>
      <w:spacing w:before="0"/>
    </w:pPr>
    <w:rPr>
      <w:rFonts w:ascii="Microsoft Sans Serif" w:eastAsia="Microsoft Sans Serif" w:hAnsi="Microsoft Sans Serif" w:cs="Microsoft Sans Serif"/>
      <w:sz w:val="22"/>
      <w:szCs w:val="22"/>
    </w:rPr>
  </w:style>
  <w:style w:type="paragraph" w:styleId="Rvision">
    <w:name w:val="Revision"/>
    <w:hidden/>
    <w:uiPriority w:val="99"/>
    <w:semiHidden/>
    <w:rsid w:val="0058618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61260">
      <w:bodyDiv w:val="1"/>
      <w:marLeft w:val="0"/>
      <w:marRight w:val="0"/>
      <w:marTop w:val="0"/>
      <w:marBottom w:val="0"/>
      <w:divBdr>
        <w:top w:val="none" w:sz="0" w:space="0" w:color="auto"/>
        <w:left w:val="none" w:sz="0" w:space="0" w:color="auto"/>
        <w:bottom w:val="none" w:sz="0" w:space="0" w:color="auto"/>
        <w:right w:val="none" w:sz="0" w:space="0" w:color="auto"/>
      </w:divBdr>
    </w:div>
    <w:div w:id="1117794239">
      <w:bodyDiv w:val="1"/>
      <w:marLeft w:val="0"/>
      <w:marRight w:val="0"/>
      <w:marTop w:val="0"/>
      <w:marBottom w:val="0"/>
      <w:divBdr>
        <w:top w:val="none" w:sz="0" w:space="0" w:color="auto"/>
        <w:left w:val="none" w:sz="0" w:space="0" w:color="auto"/>
        <w:bottom w:val="none" w:sz="0" w:space="0" w:color="auto"/>
        <w:right w:val="none" w:sz="0" w:space="0" w:color="auto"/>
      </w:divBdr>
    </w:div>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555921139">
      <w:bodyDiv w:val="1"/>
      <w:marLeft w:val="0"/>
      <w:marRight w:val="0"/>
      <w:marTop w:val="0"/>
      <w:marBottom w:val="0"/>
      <w:divBdr>
        <w:top w:val="none" w:sz="0" w:space="0" w:color="auto"/>
        <w:left w:val="none" w:sz="0" w:space="0" w:color="auto"/>
        <w:bottom w:val="none" w:sz="0" w:space="0" w:color="auto"/>
        <w:right w:val="none" w:sz="0" w:space="0" w:color="auto"/>
      </w:divBdr>
      <w:divsChild>
        <w:div w:id="123813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2230">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 w:id="2117360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ine-et-loire.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aine-et-loir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ppelsprojetsenfance@maine-et-loire.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ine-et-loire.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ine-et-loire.gouv.fr/Publications/Recueil-des-Actes-Administratifs" TargetMode="External"/><Relationship Id="rId22" Type="http://schemas.openxmlformats.org/officeDocument/2006/relationships/header" Target="header4.xml"/></Relationships>
</file>

<file path=word/_rels/footer6.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E07C-E6C8-4D0F-B9C9-F75826BA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3420</TotalTime>
  <Pages>12</Pages>
  <Words>3283</Words>
  <Characters>18057</Characters>
  <Application>Microsoft Office Word</Application>
  <DocSecurity>0</DocSecurity>
  <Lines>150</Lines>
  <Paragraphs>42</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blouin, julie</cp:lastModifiedBy>
  <cp:revision>18</cp:revision>
  <cp:lastPrinted>2025-10-03T13:42:00Z</cp:lastPrinted>
  <dcterms:created xsi:type="dcterms:W3CDTF">2025-10-02T10:16:00Z</dcterms:created>
  <dcterms:modified xsi:type="dcterms:W3CDTF">2025-10-06T14:32:00Z</dcterms:modified>
</cp:coreProperties>
</file>